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A5689" w14:textId="77777777" w:rsidR="00F731FF" w:rsidRPr="001303DA" w:rsidRDefault="001303DA" w:rsidP="001303DA">
      <w:pPr>
        <w:jc w:val="center"/>
        <w:rPr>
          <w:rFonts w:cs="Times New Roman"/>
          <w:b/>
          <w:szCs w:val="24"/>
        </w:rPr>
      </w:pPr>
      <w:r w:rsidRPr="001303DA">
        <w:rPr>
          <w:rFonts w:cs="Times New Roman"/>
          <w:b/>
          <w:szCs w:val="24"/>
        </w:rPr>
        <w:t>Palmetto Literacy Project</w:t>
      </w:r>
    </w:p>
    <w:tbl>
      <w:tblPr>
        <w:tblStyle w:val="TableGrid"/>
        <w:tblpPr w:leftFromText="180" w:rightFromText="180" w:vertAnchor="text" w:horzAnchor="margin" w:tblpXSpec="center" w:tblpY="316"/>
        <w:tblW w:w="5132" w:type="pct"/>
        <w:tblLook w:val="04A0" w:firstRow="1" w:lastRow="0" w:firstColumn="1" w:lastColumn="0" w:noHBand="0" w:noVBand="1"/>
        <w:tblCaption w:val="PLP Support Chart"/>
        <w:tblDescription w:val="PLP Support Chart"/>
      </w:tblPr>
      <w:tblGrid>
        <w:gridCol w:w="1423"/>
        <w:gridCol w:w="2921"/>
        <w:gridCol w:w="2466"/>
        <w:gridCol w:w="2787"/>
      </w:tblGrid>
      <w:tr w:rsidR="001303DA" w14:paraId="69B8E315" w14:textId="77777777" w:rsidTr="00042BCF">
        <w:trPr>
          <w:tblHeader/>
        </w:trPr>
        <w:tc>
          <w:tcPr>
            <w:tcW w:w="741" w:type="pct"/>
            <w:shd w:val="clear" w:color="auto" w:fill="DBE5F1" w:themeFill="accent1" w:themeFillTint="33"/>
          </w:tcPr>
          <w:p w14:paraId="7FA69650" w14:textId="77777777" w:rsidR="001303DA" w:rsidRPr="00CF1248" w:rsidRDefault="001303DA" w:rsidP="001303DA">
            <w:pPr>
              <w:rPr>
                <w:b/>
                <w:sz w:val="20"/>
                <w:szCs w:val="20"/>
              </w:rPr>
            </w:pPr>
            <w:r w:rsidRPr="00CF1248">
              <w:rPr>
                <w:b/>
                <w:sz w:val="20"/>
                <w:szCs w:val="20"/>
              </w:rPr>
              <w:t>Tiers</w:t>
            </w:r>
          </w:p>
        </w:tc>
        <w:tc>
          <w:tcPr>
            <w:tcW w:w="1522" w:type="pct"/>
          </w:tcPr>
          <w:p w14:paraId="34E18562" w14:textId="77777777" w:rsidR="001303DA" w:rsidRPr="00CF1248" w:rsidRDefault="001303DA" w:rsidP="001303DA">
            <w:pPr>
              <w:rPr>
                <w:sz w:val="20"/>
                <w:szCs w:val="20"/>
              </w:rPr>
            </w:pPr>
            <w:r w:rsidRPr="00CF1248">
              <w:rPr>
                <w:sz w:val="20"/>
                <w:szCs w:val="20"/>
              </w:rPr>
              <w:t>Tier 1</w:t>
            </w:r>
          </w:p>
        </w:tc>
        <w:tc>
          <w:tcPr>
            <w:tcW w:w="1285" w:type="pct"/>
          </w:tcPr>
          <w:p w14:paraId="4AC6C011" w14:textId="77777777" w:rsidR="001303DA" w:rsidRPr="00CF1248" w:rsidRDefault="001303DA" w:rsidP="001303DA">
            <w:pPr>
              <w:rPr>
                <w:sz w:val="20"/>
                <w:szCs w:val="20"/>
              </w:rPr>
            </w:pPr>
            <w:r w:rsidRPr="00CF1248">
              <w:rPr>
                <w:sz w:val="20"/>
                <w:szCs w:val="20"/>
              </w:rPr>
              <w:t>Tier 2</w:t>
            </w:r>
          </w:p>
        </w:tc>
        <w:tc>
          <w:tcPr>
            <w:tcW w:w="1452" w:type="pct"/>
          </w:tcPr>
          <w:p w14:paraId="45C3203F" w14:textId="77777777" w:rsidR="001303DA" w:rsidRPr="00CF1248" w:rsidRDefault="001303DA" w:rsidP="001303DA">
            <w:pPr>
              <w:rPr>
                <w:sz w:val="20"/>
                <w:szCs w:val="20"/>
              </w:rPr>
            </w:pPr>
            <w:r w:rsidRPr="00CF1248">
              <w:rPr>
                <w:sz w:val="20"/>
                <w:szCs w:val="20"/>
              </w:rPr>
              <w:t>Tier 3</w:t>
            </w:r>
          </w:p>
        </w:tc>
      </w:tr>
      <w:tr w:rsidR="001303DA" w14:paraId="63E19CA2" w14:textId="77777777" w:rsidTr="00042BCF">
        <w:trPr>
          <w:tblHeader/>
        </w:trPr>
        <w:tc>
          <w:tcPr>
            <w:tcW w:w="741" w:type="pct"/>
            <w:shd w:val="clear" w:color="auto" w:fill="DBE5F1" w:themeFill="accent1" w:themeFillTint="33"/>
          </w:tcPr>
          <w:p w14:paraId="74EC806E" w14:textId="77777777" w:rsidR="001303DA" w:rsidRPr="00CF1248" w:rsidRDefault="001303DA" w:rsidP="001303DA">
            <w:pPr>
              <w:rPr>
                <w:b/>
                <w:sz w:val="20"/>
                <w:szCs w:val="20"/>
              </w:rPr>
            </w:pPr>
            <w:r w:rsidRPr="00CF1248">
              <w:rPr>
                <w:b/>
                <w:sz w:val="20"/>
                <w:szCs w:val="20"/>
              </w:rPr>
              <w:t>Description</w:t>
            </w:r>
          </w:p>
        </w:tc>
        <w:tc>
          <w:tcPr>
            <w:tcW w:w="1522" w:type="pct"/>
          </w:tcPr>
          <w:p w14:paraId="3007FA11" w14:textId="77777777" w:rsidR="001303DA" w:rsidRPr="00CF1248" w:rsidRDefault="001303DA" w:rsidP="001303DA">
            <w:pPr>
              <w:rPr>
                <w:sz w:val="20"/>
                <w:szCs w:val="20"/>
              </w:rPr>
            </w:pPr>
            <w:r w:rsidRPr="00CF1248">
              <w:rPr>
                <w:sz w:val="20"/>
                <w:szCs w:val="20"/>
              </w:rPr>
              <w:t>Schools where fewer than 33.3 percent of third graders scored Does Not Meet (DNM) on 2019 SC Ready English-Language Arts (ELA). Tier 1 schools have flexibility to use Read to Succeed (R2S) allocation as determined by the needs of the school to ensure all students are reading on grade level.</w:t>
            </w:r>
          </w:p>
        </w:tc>
        <w:tc>
          <w:tcPr>
            <w:tcW w:w="1285" w:type="pct"/>
          </w:tcPr>
          <w:p w14:paraId="3D112CA0" w14:textId="77777777" w:rsidR="001303DA" w:rsidRPr="00CF1248" w:rsidRDefault="001303DA" w:rsidP="001303DA">
            <w:pPr>
              <w:rPr>
                <w:sz w:val="20"/>
                <w:szCs w:val="20"/>
              </w:rPr>
            </w:pPr>
            <w:r w:rsidRPr="00CF1248">
              <w:rPr>
                <w:sz w:val="20"/>
                <w:szCs w:val="20"/>
              </w:rPr>
              <w:t>Schools where between 33.3 and 49.9 percent of third graders scored DNM on 2019 SC Ready ELA. SCDE will approve reading coaches in Tier 2 schools.</w:t>
            </w:r>
          </w:p>
        </w:tc>
        <w:tc>
          <w:tcPr>
            <w:tcW w:w="1452" w:type="pct"/>
          </w:tcPr>
          <w:p w14:paraId="56E9D6C8" w14:textId="77777777" w:rsidR="001303DA" w:rsidRPr="00CF1248" w:rsidRDefault="001303DA" w:rsidP="001303DA">
            <w:pPr>
              <w:rPr>
                <w:sz w:val="20"/>
                <w:szCs w:val="20"/>
              </w:rPr>
            </w:pPr>
            <w:r w:rsidRPr="00CF1248">
              <w:rPr>
                <w:sz w:val="20"/>
                <w:szCs w:val="20"/>
              </w:rPr>
              <w:t>Schools where 50 percent or more of third graders scored DNM on 2019 SC Ready ELA. SCDE will approve reading coaches in Tier 3 schools.</w:t>
            </w:r>
          </w:p>
        </w:tc>
      </w:tr>
    </w:tbl>
    <w:p w14:paraId="6142D4DB" w14:textId="77777777" w:rsidR="001303DA" w:rsidRDefault="001303DA" w:rsidP="001303DA">
      <w:pPr>
        <w:jc w:val="center"/>
        <w:rPr>
          <w:rFonts w:cs="Times New Roman"/>
          <w:szCs w:val="24"/>
        </w:rPr>
      </w:pPr>
    </w:p>
    <w:p w14:paraId="5BECC5E0" w14:textId="77777777" w:rsidR="001303DA" w:rsidRDefault="001303DA" w:rsidP="001303DA">
      <w:pPr>
        <w:rPr>
          <w:rFonts w:cs="Times New Roman"/>
          <w:szCs w:val="24"/>
        </w:rPr>
      </w:pPr>
    </w:p>
    <w:p w14:paraId="257006EE" w14:textId="77777777" w:rsidR="001303DA" w:rsidRPr="001303DA" w:rsidRDefault="001303DA" w:rsidP="001303DA">
      <w:pPr>
        <w:spacing w:after="0"/>
        <w:ind w:hanging="360"/>
        <w:jc w:val="both"/>
        <w:rPr>
          <w:rFonts w:cs="Times New Roman"/>
          <w:b/>
          <w:sz w:val="22"/>
        </w:rPr>
      </w:pPr>
      <w:r w:rsidRPr="001303DA">
        <w:rPr>
          <w:rFonts w:cs="Times New Roman"/>
          <w:b/>
          <w:sz w:val="22"/>
        </w:rPr>
        <w:t>Support for All Schools (Tiers 1, 2, 3)</w:t>
      </w:r>
    </w:p>
    <w:p w14:paraId="55C6A928" w14:textId="77777777" w:rsidR="001303DA" w:rsidRPr="001303DA" w:rsidRDefault="001303DA" w:rsidP="001303DA">
      <w:pPr>
        <w:pStyle w:val="ListParagraph"/>
        <w:numPr>
          <w:ilvl w:val="0"/>
          <w:numId w:val="1"/>
        </w:numPr>
        <w:spacing w:after="0"/>
        <w:ind w:left="0"/>
        <w:jc w:val="both"/>
        <w:rPr>
          <w:rFonts w:cs="Times New Roman"/>
          <w:b/>
          <w:sz w:val="22"/>
        </w:rPr>
      </w:pPr>
      <w:r w:rsidRPr="001303DA">
        <w:rPr>
          <w:rFonts w:cs="Times New Roman"/>
          <w:sz w:val="22"/>
        </w:rPr>
        <w:t>The Office of Early Learning and Literacy (OELL) will provide virtual and face-to-face Professional Learning Opportunities (PLOs) to support Acts 284 &amp; 213 for teachers, coaches, and school leadership teams.</w:t>
      </w:r>
    </w:p>
    <w:p w14:paraId="4154556C" w14:textId="77777777" w:rsidR="001303DA" w:rsidRPr="001303DA" w:rsidRDefault="001303DA" w:rsidP="001303DA">
      <w:pPr>
        <w:pStyle w:val="ListParagraph"/>
        <w:numPr>
          <w:ilvl w:val="0"/>
          <w:numId w:val="1"/>
        </w:numPr>
        <w:spacing w:after="0"/>
        <w:ind w:left="0"/>
        <w:jc w:val="both"/>
        <w:rPr>
          <w:rFonts w:cs="Times New Roman"/>
          <w:b/>
          <w:sz w:val="22"/>
        </w:rPr>
      </w:pPr>
      <w:r w:rsidRPr="001303DA">
        <w:rPr>
          <w:rFonts w:cs="Times New Roman"/>
          <w:sz w:val="22"/>
        </w:rPr>
        <w:t>The OELL will review and approve Read to Succeed (R2S) Reading plans. The OELL will provide assistance for plans as needed.</w:t>
      </w:r>
    </w:p>
    <w:p w14:paraId="5B5DEDAB" w14:textId="77777777" w:rsidR="001303DA" w:rsidRPr="001303DA" w:rsidRDefault="001303DA" w:rsidP="001303DA">
      <w:pPr>
        <w:pStyle w:val="ListParagraph"/>
        <w:numPr>
          <w:ilvl w:val="0"/>
          <w:numId w:val="1"/>
        </w:numPr>
        <w:spacing w:after="0"/>
        <w:ind w:left="0"/>
        <w:jc w:val="both"/>
        <w:rPr>
          <w:rFonts w:cs="Times New Roman"/>
          <w:b/>
          <w:sz w:val="22"/>
        </w:rPr>
      </w:pPr>
      <w:r w:rsidRPr="001303DA">
        <w:rPr>
          <w:rFonts w:cs="Times New Roman"/>
          <w:sz w:val="22"/>
        </w:rPr>
        <w:t>The OELL will provide online modules and book studies on MTSS, Phonics, Dyslexia, REL resources, and other literacy topics.</w:t>
      </w:r>
    </w:p>
    <w:p w14:paraId="3D73A65E" w14:textId="77777777" w:rsidR="001303DA" w:rsidRPr="001303DA" w:rsidRDefault="001303DA" w:rsidP="001303DA">
      <w:pPr>
        <w:pStyle w:val="ListParagraph"/>
        <w:numPr>
          <w:ilvl w:val="0"/>
          <w:numId w:val="1"/>
        </w:numPr>
        <w:spacing w:after="0"/>
        <w:ind w:left="0"/>
        <w:jc w:val="both"/>
        <w:rPr>
          <w:rFonts w:cs="Times New Roman"/>
          <w:b/>
          <w:sz w:val="22"/>
        </w:rPr>
      </w:pPr>
      <w:r w:rsidRPr="001303DA">
        <w:rPr>
          <w:rFonts w:cs="Times New Roman"/>
          <w:sz w:val="22"/>
        </w:rPr>
        <w:t>The OELL will provide demonstration model learning labs.</w:t>
      </w:r>
    </w:p>
    <w:p w14:paraId="18C2378C" w14:textId="77777777" w:rsidR="001303DA" w:rsidRPr="001303DA" w:rsidRDefault="001303DA" w:rsidP="001303DA">
      <w:pPr>
        <w:pStyle w:val="ListParagraph"/>
        <w:numPr>
          <w:ilvl w:val="0"/>
          <w:numId w:val="1"/>
        </w:numPr>
        <w:spacing w:after="0"/>
        <w:ind w:left="0"/>
        <w:jc w:val="both"/>
        <w:rPr>
          <w:rFonts w:cs="Times New Roman"/>
          <w:b/>
          <w:sz w:val="22"/>
        </w:rPr>
      </w:pPr>
      <w:r w:rsidRPr="001303DA">
        <w:rPr>
          <w:rFonts w:cs="Times New Roman"/>
          <w:sz w:val="22"/>
        </w:rPr>
        <w:t>The OELL will provide virtual support and face-to-face assistance by Literacy Specialists (LS) as requested.</w:t>
      </w:r>
    </w:p>
    <w:p w14:paraId="6DD9AFB4" w14:textId="77777777" w:rsidR="001303DA" w:rsidRPr="001303DA" w:rsidRDefault="001303DA" w:rsidP="001303DA">
      <w:pPr>
        <w:pStyle w:val="ListParagraph"/>
        <w:numPr>
          <w:ilvl w:val="0"/>
          <w:numId w:val="1"/>
        </w:numPr>
        <w:spacing w:after="0"/>
        <w:ind w:left="0"/>
        <w:jc w:val="both"/>
        <w:rPr>
          <w:rFonts w:cs="Times New Roman"/>
          <w:b/>
          <w:sz w:val="22"/>
        </w:rPr>
      </w:pPr>
      <w:r w:rsidRPr="001303DA">
        <w:rPr>
          <w:rFonts w:cs="Times New Roman"/>
          <w:sz w:val="22"/>
        </w:rPr>
        <w:t>The OELL will provide Reading Coach training for Year 1 and Year 2 coac</w:t>
      </w:r>
      <w:bookmarkStart w:id="0" w:name="_GoBack"/>
      <w:bookmarkEnd w:id="0"/>
      <w:r w:rsidRPr="001303DA">
        <w:rPr>
          <w:rFonts w:cs="Times New Roman"/>
          <w:sz w:val="22"/>
        </w:rPr>
        <w:t>hes. This training will lead to Literacy Coach Endorsement.</w:t>
      </w:r>
    </w:p>
    <w:p w14:paraId="53366EEC" w14:textId="77777777" w:rsidR="001303DA" w:rsidRPr="001303DA" w:rsidRDefault="001303DA" w:rsidP="001303DA">
      <w:pPr>
        <w:pStyle w:val="ListParagraph"/>
        <w:numPr>
          <w:ilvl w:val="0"/>
          <w:numId w:val="1"/>
        </w:numPr>
        <w:spacing w:after="0"/>
        <w:ind w:left="0"/>
        <w:jc w:val="both"/>
        <w:rPr>
          <w:rFonts w:cs="Times New Roman"/>
          <w:b/>
          <w:sz w:val="22"/>
        </w:rPr>
      </w:pPr>
      <w:r w:rsidRPr="001303DA">
        <w:rPr>
          <w:rFonts w:cs="Times New Roman"/>
          <w:sz w:val="22"/>
        </w:rPr>
        <w:t>The OELL will assist with analysis of data and support data-based protocols as requested.</w:t>
      </w:r>
    </w:p>
    <w:p w14:paraId="6A4A282D" w14:textId="77777777" w:rsidR="001303DA" w:rsidRPr="001303DA" w:rsidRDefault="001303DA" w:rsidP="001303DA">
      <w:pPr>
        <w:spacing w:after="0"/>
        <w:ind w:hanging="360"/>
        <w:jc w:val="both"/>
        <w:rPr>
          <w:rFonts w:cs="Times New Roman"/>
          <w:b/>
          <w:sz w:val="22"/>
        </w:rPr>
      </w:pPr>
    </w:p>
    <w:p w14:paraId="39F43B63" w14:textId="77777777" w:rsidR="001303DA" w:rsidRPr="001303DA" w:rsidRDefault="001303DA" w:rsidP="001303DA">
      <w:pPr>
        <w:spacing w:after="0"/>
        <w:ind w:hanging="360"/>
        <w:jc w:val="both"/>
        <w:rPr>
          <w:rFonts w:cs="Times New Roman"/>
          <w:b/>
          <w:sz w:val="22"/>
        </w:rPr>
      </w:pPr>
      <w:r w:rsidRPr="001303DA">
        <w:rPr>
          <w:rFonts w:cs="Times New Roman"/>
          <w:b/>
          <w:sz w:val="22"/>
        </w:rPr>
        <w:t>Support for Tier 3 Schools</w:t>
      </w:r>
    </w:p>
    <w:p w14:paraId="69971429" w14:textId="77777777" w:rsidR="001303DA" w:rsidRPr="001303DA" w:rsidRDefault="001303DA" w:rsidP="001303DA">
      <w:pPr>
        <w:spacing w:after="0"/>
        <w:ind w:hanging="360"/>
        <w:jc w:val="both"/>
        <w:rPr>
          <w:rFonts w:cs="Times New Roman"/>
          <w:sz w:val="22"/>
        </w:rPr>
      </w:pPr>
      <w:r w:rsidRPr="001303DA">
        <w:rPr>
          <w:rFonts w:cs="Times New Roman"/>
          <w:sz w:val="22"/>
        </w:rPr>
        <w:t>The OELL LS will provide the following services:</w:t>
      </w:r>
    </w:p>
    <w:p w14:paraId="63ED68DF" w14:textId="77777777" w:rsidR="001303DA" w:rsidRPr="001303DA" w:rsidRDefault="001303DA" w:rsidP="001303DA">
      <w:pPr>
        <w:pStyle w:val="ListParagraph"/>
        <w:numPr>
          <w:ilvl w:val="0"/>
          <w:numId w:val="3"/>
        </w:numPr>
        <w:spacing w:after="0"/>
        <w:ind w:left="0"/>
        <w:jc w:val="both"/>
        <w:rPr>
          <w:rFonts w:cs="Times New Roman"/>
          <w:sz w:val="22"/>
        </w:rPr>
      </w:pPr>
      <w:r w:rsidRPr="001303DA">
        <w:rPr>
          <w:rFonts w:cs="Times New Roman"/>
          <w:sz w:val="22"/>
        </w:rPr>
        <w:t>Support school leadership teams and reading coaches in conducting a comprehensive needs assessment to include an analysis of formative and summative data.</w:t>
      </w:r>
    </w:p>
    <w:p w14:paraId="25DD1625" w14:textId="77777777" w:rsidR="001303DA" w:rsidRPr="001303DA" w:rsidRDefault="001303DA" w:rsidP="001303DA">
      <w:pPr>
        <w:pStyle w:val="ListParagraph"/>
        <w:numPr>
          <w:ilvl w:val="0"/>
          <w:numId w:val="3"/>
        </w:numPr>
        <w:spacing w:after="0"/>
        <w:ind w:left="0"/>
        <w:jc w:val="both"/>
        <w:rPr>
          <w:rFonts w:cs="Times New Roman"/>
          <w:sz w:val="22"/>
        </w:rPr>
      </w:pPr>
      <w:r w:rsidRPr="001303DA">
        <w:rPr>
          <w:rFonts w:cs="Times New Roman"/>
          <w:sz w:val="22"/>
        </w:rPr>
        <w:lastRenderedPageBreak/>
        <w:t xml:space="preserve">Assist school leadership teams and reading coaches to analyze results of the needs assessment to determine strengths and possibilities for growth, create goals, action plans, and strategies to focus on systemic change and to ensure student achievement. </w:t>
      </w:r>
    </w:p>
    <w:p w14:paraId="2DA748D5" w14:textId="77777777" w:rsidR="001303DA" w:rsidRPr="001303DA" w:rsidRDefault="001303DA" w:rsidP="001303DA">
      <w:pPr>
        <w:pStyle w:val="ListParagraph"/>
        <w:numPr>
          <w:ilvl w:val="0"/>
          <w:numId w:val="3"/>
        </w:numPr>
        <w:spacing w:after="0"/>
        <w:ind w:left="0"/>
        <w:jc w:val="both"/>
        <w:rPr>
          <w:rFonts w:cs="Times New Roman"/>
          <w:sz w:val="22"/>
        </w:rPr>
      </w:pPr>
      <w:r w:rsidRPr="001303DA">
        <w:rPr>
          <w:rFonts w:cs="Times New Roman"/>
          <w:sz w:val="22"/>
        </w:rPr>
        <w:t>Provide professional learning opportunities, which model the use of research, best teaching practices, and understanding of adult learning theory.</w:t>
      </w:r>
    </w:p>
    <w:p w14:paraId="05A1E07C" w14:textId="77777777" w:rsidR="001303DA" w:rsidRPr="001303DA" w:rsidRDefault="001303DA" w:rsidP="001303DA">
      <w:pPr>
        <w:pStyle w:val="ListParagraph"/>
        <w:numPr>
          <w:ilvl w:val="0"/>
          <w:numId w:val="3"/>
        </w:numPr>
        <w:spacing w:after="0"/>
        <w:ind w:left="0"/>
        <w:jc w:val="both"/>
        <w:rPr>
          <w:rFonts w:cs="Times New Roman"/>
          <w:sz w:val="22"/>
        </w:rPr>
      </w:pPr>
      <w:r w:rsidRPr="001303DA">
        <w:rPr>
          <w:rFonts w:cs="Times New Roman"/>
          <w:sz w:val="22"/>
        </w:rPr>
        <w:t>Work with school leadership teams, reading coaches and teachers to strengthen and support instruction and intervention efforts in the implementation of MTSS.</w:t>
      </w:r>
    </w:p>
    <w:p w14:paraId="2E2DA501" w14:textId="77777777" w:rsidR="001303DA" w:rsidRPr="001303DA" w:rsidRDefault="001303DA" w:rsidP="001303DA">
      <w:pPr>
        <w:pStyle w:val="ListParagraph"/>
        <w:numPr>
          <w:ilvl w:val="0"/>
          <w:numId w:val="3"/>
        </w:numPr>
        <w:spacing w:after="0"/>
        <w:ind w:left="0"/>
        <w:jc w:val="both"/>
        <w:rPr>
          <w:rFonts w:cs="Times New Roman"/>
          <w:sz w:val="22"/>
        </w:rPr>
      </w:pPr>
      <w:r w:rsidRPr="001303DA">
        <w:rPr>
          <w:rFonts w:cs="Times New Roman"/>
          <w:sz w:val="22"/>
        </w:rPr>
        <w:t>Work directly with reading coaches to support data analysis and the use of data to differentiate instruction to reach the goal of all students reading on grade level.</w:t>
      </w:r>
    </w:p>
    <w:p w14:paraId="281FD46E" w14:textId="77777777" w:rsidR="001303DA" w:rsidRPr="001303DA" w:rsidRDefault="001303DA" w:rsidP="001303DA">
      <w:pPr>
        <w:pStyle w:val="ListParagraph"/>
        <w:numPr>
          <w:ilvl w:val="0"/>
          <w:numId w:val="3"/>
        </w:numPr>
        <w:spacing w:after="0"/>
        <w:ind w:left="0"/>
        <w:jc w:val="both"/>
        <w:rPr>
          <w:rFonts w:cs="Times New Roman"/>
          <w:sz w:val="22"/>
        </w:rPr>
      </w:pPr>
      <w:r w:rsidRPr="001303DA">
        <w:rPr>
          <w:rFonts w:cs="Times New Roman"/>
          <w:sz w:val="22"/>
        </w:rPr>
        <w:t>Conduct regular onsite visits and monthly Professional Learning Communities with school leadership teams, reading coaches, and teachers.</w:t>
      </w:r>
    </w:p>
    <w:p w14:paraId="68255B39" w14:textId="77777777" w:rsidR="001303DA" w:rsidRPr="001303DA" w:rsidRDefault="001303DA" w:rsidP="001303DA">
      <w:pPr>
        <w:pStyle w:val="ListParagraph"/>
        <w:numPr>
          <w:ilvl w:val="0"/>
          <w:numId w:val="3"/>
        </w:numPr>
        <w:spacing w:after="0"/>
        <w:ind w:left="0"/>
        <w:jc w:val="both"/>
        <w:rPr>
          <w:rFonts w:cs="Times New Roman"/>
          <w:sz w:val="22"/>
        </w:rPr>
      </w:pPr>
      <w:r w:rsidRPr="001303DA">
        <w:rPr>
          <w:rFonts w:cs="Times New Roman"/>
          <w:sz w:val="22"/>
        </w:rPr>
        <w:t>Use student performance data for identifying and designing professional learning opportunities, coaching sessions, decision-making, instructional practice, and goal setting.</w:t>
      </w:r>
    </w:p>
    <w:p w14:paraId="7C297CAF" w14:textId="77777777" w:rsidR="001303DA" w:rsidRPr="001303DA" w:rsidRDefault="001303DA" w:rsidP="001303DA">
      <w:pPr>
        <w:pStyle w:val="ListParagraph"/>
        <w:numPr>
          <w:ilvl w:val="0"/>
          <w:numId w:val="3"/>
        </w:numPr>
        <w:spacing w:after="0"/>
        <w:ind w:left="0"/>
        <w:jc w:val="both"/>
        <w:rPr>
          <w:rFonts w:cs="Times New Roman"/>
          <w:sz w:val="22"/>
        </w:rPr>
      </w:pPr>
      <w:r w:rsidRPr="001303DA">
        <w:rPr>
          <w:rFonts w:cs="Times New Roman"/>
          <w:sz w:val="22"/>
        </w:rPr>
        <w:t>Give direction and feedback to coaches and principals. Work with principal to identify possible goals and targeted needs.</w:t>
      </w:r>
    </w:p>
    <w:p w14:paraId="5EA143C0" w14:textId="77777777" w:rsidR="001303DA" w:rsidRPr="001303DA" w:rsidRDefault="001303DA" w:rsidP="001303DA">
      <w:pPr>
        <w:pStyle w:val="ListParagraph"/>
        <w:numPr>
          <w:ilvl w:val="0"/>
          <w:numId w:val="3"/>
        </w:numPr>
        <w:spacing w:after="0"/>
        <w:ind w:left="0"/>
        <w:jc w:val="both"/>
        <w:rPr>
          <w:rFonts w:cs="Times New Roman"/>
          <w:sz w:val="22"/>
        </w:rPr>
      </w:pPr>
      <w:r w:rsidRPr="001303DA">
        <w:rPr>
          <w:rFonts w:cs="Times New Roman"/>
          <w:sz w:val="22"/>
        </w:rPr>
        <w:t>Communicate with principal before, during, and after school visits.</w:t>
      </w:r>
    </w:p>
    <w:p w14:paraId="6BB11874" w14:textId="77777777" w:rsidR="001303DA" w:rsidRPr="001303DA" w:rsidRDefault="001303DA" w:rsidP="001303DA">
      <w:pPr>
        <w:pStyle w:val="ListParagraph"/>
        <w:numPr>
          <w:ilvl w:val="0"/>
          <w:numId w:val="3"/>
        </w:numPr>
        <w:spacing w:after="0"/>
        <w:ind w:left="0"/>
        <w:jc w:val="both"/>
        <w:rPr>
          <w:rFonts w:cs="Times New Roman"/>
          <w:sz w:val="22"/>
        </w:rPr>
      </w:pPr>
      <w:r w:rsidRPr="001303DA">
        <w:rPr>
          <w:rFonts w:cs="Times New Roman"/>
          <w:sz w:val="22"/>
        </w:rPr>
        <w:t>Communicate with liaisons and principals on a monthly basis to keep them up to date with what is going on with the Palmetto Literacy Project.</w:t>
      </w:r>
    </w:p>
    <w:sectPr w:rsidR="001303DA" w:rsidRPr="001303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9F094C"/>
    <w:multiLevelType w:val="hybridMultilevel"/>
    <w:tmpl w:val="B4221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ED3A15"/>
    <w:multiLevelType w:val="hybridMultilevel"/>
    <w:tmpl w:val="14D6C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0C35CE"/>
    <w:multiLevelType w:val="hybridMultilevel"/>
    <w:tmpl w:val="9C26F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3DA"/>
    <w:rsid w:val="00042BCF"/>
    <w:rsid w:val="001303DA"/>
    <w:rsid w:val="00A11AF6"/>
    <w:rsid w:val="00DB1B8D"/>
    <w:rsid w:val="00F73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31666"/>
  <w15:chartTrackingRefBased/>
  <w15:docId w15:val="{CE780082-3EB3-4D48-B2A3-6D9992642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AF6"/>
    <w:pPr>
      <w:spacing w:line="240" w:lineRule="auto"/>
      <w:contextualSpacing/>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303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303DA"/>
    <w:pPr>
      <w:ind w:left="720"/>
    </w:pPr>
  </w:style>
  <w:style w:type="paragraph" w:styleId="BalloonText">
    <w:name w:val="Balloon Text"/>
    <w:basedOn w:val="Normal"/>
    <w:link w:val="BalloonTextChar"/>
    <w:uiPriority w:val="99"/>
    <w:semiHidden/>
    <w:unhideWhenUsed/>
    <w:rsid w:val="00042BC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2B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9EA0F84060F042A4CA3649E1624D63" ma:contentTypeVersion="38" ma:contentTypeDescription="Create a new document." ma:contentTypeScope="" ma:versionID="efe11648a809e70824b21300752a5256">
  <xsd:schema xmlns:xsd="http://www.w3.org/2001/XMLSchema" xmlns:xs="http://www.w3.org/2001/XMLSchema" xmlns:p="http://schemas.microsoft.com/office/2006/metadata/properties" xmlns:ns2="f6c76d0c-ee7d-4653-8e40-cb44806c1a64" xmlns:ns3="36d6872c-658d-45c7-a1ea-ff301e4f9854" targetNamespace="http://schemas.microsoft.com/office/2006/metadata/properties" ma:root="true" ma:fieldsID="c8f93fe07c5156adfff1d061f8de2791" ns2:_="" ns3:_="">
    <xsd:import namespace="f6c76d0c-ee7d-4653-8e40-cb44806c1a64"/>
    <xsd:import namespace="36d6872c-658d-45c7-a1ea-ff301e4f9854"/>
    <xsd:element name="properties">
      <xsd:complexType>
        <xsd:sequence>
          <xsd:element name="documentManagement">
            <xsd:complexType>
              <xsd:all>
                <xsd:element ref="ns2:SharedWithUsers" minOccurs="0"/>
                <xsd:element ref="ns3:Docu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c76d0c-ee7d-4653-8e40-cb44806c1a6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872c-658d-45c7-a1ea-ff301e4f9854" elementFormDefault="qualified">
    <xsd:import namespace="http://schemas.microsoft.com/office/2006/documentManagement/types"/>
    <xsd:import namespace="http://schemas.microsoft.com/office/infopath/2007/PartnerControls"/>
    <xsd:element name="DocumentType" ma:index="9" ma:displayName="DocumentType" ma:default="Reports and Guidelines" ma:format="RadioButtons" ma:internalName="DocumentType">
      <xsd:simpleType>
        <xsd:restriction base="dms:Choice">
          <xsd:enumeration value="Reports and Guidelines"/>
          <xsd:enumeration value="Letters and Memo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Type xmlns="36d6872c-658d-45c7-a1ea-ff301e4f9854">Reports and Guidelines</Docu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B51FC5-9653-4BB9-9774-12621DFFD87B}"/>
</file>

<file path=customXml/itemProps2.xml><?xml version="1.0" encoding="utf-8"?>
<ds:datastoreItem xmlns:ds="http://schemas.openxmlformats.org/officeDocument/2006/customXml" ds:itemID="{19E30D14-F832-42C4-B5D7-C292354594B9}"/>
</file>

<file path=customXml/itemProps3.xml><?xml version="1.0" encoding="utf-8"?>
<ds:datastoreItem xmlns:ds="http://schemas.openxmlformats.org/officeDocument/2006/customXml" ds:itemID="{E7332C54-9315-4862-B716-962FC3BF55BF}"/>
</file>

<file path=docProps/app.xml><?xml version="1.0" encoding="utf-8"?>
<Properties xmlns="http://schemas.openxmlformats.org/officeDocument/2006/extended-properties" xmlns:vt="http://schemas.openxmlformats.org/officeDocument/2006/docPropsVTypes">
  <Template>Normal</Template>
  <TotalTime>14</TotalTime>
  <Pages>1</Pages>
  <Words>466</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Talbert, Ashton</dc:creator>
  <cp:keywords/>
  <dc:description/>
  <cp:lastModifiedBy>Seale, Taylor</cp:lastModifiedBy>
  <cp:revision>2</cp:revision>
  <dcterms:created xsi:type="dcterms:W3CDTF">2020-09-03T22:51:00Z</dcterms:created>
  <dcterms:modified xsi:type="dcterms:W3CDTF">2020-09-04T18:27:00Z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0x010100D89EA0F84060F042A4CA3649E1624D63</vt:lpwstr>
  </property>
</Properties>
</file>