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3D90" w14:textId="77777777" w:rsidR="009773E7" w:rsidRPr="009109F5" w:rsidRDefault="009773E7" w:rsidP="00793832">
      <w:pPr>
        <w:jc w:val="center"/>
        <w:rPr>
          <w:b/>
        </w:rPr>
      </w:pPr>
      <w:r w:rsidRPr="009109F5">
        <w:rPr>
          <w:b/>
        </w:rPr>
        <w:t>South Carolina Department of Education</w:t>
      </w:r>
    </w:p>
    <w:p w14:paraId="2720AEC1" w14:textId="77777777" w:rsidR="009773E7" w:rsidRPr="009109F5" w:rsidRDefault="009773E7" w:rsidP="009109F5">
      <w:pPr>
        <w:jc w:val="center"/>
        <w:rPr>
          <w:b/>
        </w:rPr>
      </w:pPr>
      <w:r w:rsidRPr="009109F5">
        <w:rPr>
          <w:b/>
        </w:rPr>
        <w:t>Office of Educator Services</w:t>
      </w:r>
    </w:p>
    <w:p w14:paraId="2BDCFC41" w14:textId="77777777" w:rsidR="009773E7" w:rsidRDefault="00CE1182" w:rsidP="00CE1182">
      <w:pPr>
        <w:jc w:val="center"/>
        <w:rPr>
          <w:b/>
        </w:rPr>
      </w:pPr>
      <w:r>
        <w:rPr>
          <w:b/>
        </w:rPr>
        <w:t>Educator Preparation</w:t>
      </w:r>
    </w:p>
    <w:p w14:paraId="57C610CB" w14:textId="77777777" w:rsidR="00CE1182" w:rsidRPr="00CE1182" w:rsidRDefault="00CE1182" w:rsidP="00CE1182">
      <w:pPr>
        <w:jc w:val="center"/>
        <w:rPr>
          <w:b/>
        </w:rPr>
      </w:pPr>
    </w:p>
    <w:p w14:paraId="647F2B03" w14:textId="77777777" w:rsidR="009773E7" w:rsidRDefault="009773E7" w:rsidP="00F731FF">
      <w:r>
        <w:t>Name of</w:t>
      </w:r>
      <w:r w:rsidR="00CE1182">
        <w:t xml:space="preserve"> Educator Preparation</w:t>
      </w:r>
      <w:r>
        <w:t xml:space="preserve"> Provider</w:t>
      </w:r>
      <w:r w:rsidR="000E0C7C">
        <w:t xml:space="preserve"> (EPP)</w:t>
      </w:r>
      <w:r>
        <w:t>:</w:t>
      </w:r>
      <w:r w:rsidR="00684C93">
        <w:t>____________________________________________________________</w:t>
      </w:r>
    </w:p>
    <w:p w14:paraId="7DA2082C" w14:textId="77777777" w:rsidR="009773E7" w:rsidRDefault="009773E7" w:rsidP="00F731FF"/>
    <w:p w14:paraId="4C208A60" w14:textId="77777777" w:rsidR="009109F5" w:rsidRDefault="00B64FEA" w:rsidP="00F731FF">
      <w:r>
        <w:t>Progress Monitoring Report</w:t>
      </w:r>
      <w:r w:rsidR="004C5BF5">
        <w:t xml:space="preserve"> Due Date:</w:t>
      </w:r>
      <w:r w:rsidR="00684C93">
        <w:t xml:space="preserve"> __________________ </w:t>
      </w:r>
      <w:r w:rsidR="009773E7">
        <w:t xml:space="preserve">Submission Date to </w:t>
      </w:r>
      <w:r w:rsidR="009109F5">
        <w:t xml:space="preserve">SCDE: </w:t>
      </w:r>
      <w:r w:rsidR="00684C93">
        <w:t>_________________________</w:t>
      </w:r>
    </w:p>
    <w:p w14:paraId="17697199" w14:textId="77777777" w:rsidR="00646C91" w:rsidRDefault="00646C91" w:rsidP="00F731FF"/>
    <w:tbl>
      <w:tblPr>
        <w:tblStyle w:val="TableGrid"/>
        <w:tblW w:w="11702" w:type="dxa"/>
        <w:tblLook w:val="04A0" w:firstRow="1" w:lastRow="0" w:firstColumn="1" w:lastColumn="0" w:noHBand="0" w:noVBand="1"/>
      </w:tblPr>
      <w:tblGrid>
        <w:gridCol w:w="1820"/>
        <w:gridCol w:w="2994"/>
        <w:gridCol w:w="1995"/>
        <w:gridCol w:w="3024"/>
        <w:gridCol w:w="1869"/>
      </w:tblGrid>
      <w:tr w:rsidR="001E0507" w14:paraId="3D115476" w14:textId="77777777" w:rsidTr="00B9761D">
        <w:trPr>
          <w:trHeight w:val="781"/>
          <w:tblHeader/>
        </w:trPr>
        <w:tc>
          <w:tcPr>
            <w:tcW w:w="1820" w:type="dxa"/>
            <w:shd w:val="clear" w:color="auto" w:fill="auto"/>
          </w:tcPr>
          <w:p w14:paraId="4337C390" w14:textId="77777777" w:rsidR="001E0507" w:rsidRPr="004A3AFA" w:rsidRDefault="001E0507" w:rsidP="004A3AFA">
            <w:pPr>
              <w:jc w:val="center"/>
              <w:rPr>
                <w:rFonts w:cs="Times New Roman"/>
                <w:sz w:val="22"/>
              </w:rPr>
            </w:pPr>
            <w:r w:rsidRPr="004A3AFA">
              <w:rPr>
                <w:rFonts w:cs="Times New Roman"/>
                <w:sz w:val="22"/>
              </w:rPr>
              <w:t>Unmet Standard: SC or CAEP</w:t>
            </w:r>
          </w:p>
          <w:p w14:paraId="4D564201" w14:textId="77777777" w:rsidR="001E0507" w:rsidRPr="004A3AFA" w:rsidRDefault="001E0507" w:rsidP="004A3AFA">
            <w:pPr>
              <w:jc w:val="center"/>
              <w:rPr>
                <w:rFonts w:cs="Times New Roman"/>
                <w:sz w:val="22"/>
              </w:rPr>
            </w:pPr>
            <w:r w:rsidRPr="00E36330">
              <w:rPr>
                <w:rFonts w:cs="Times New Roman"/>
                <w:sz w:val="22"/>
                <w:highlight w:val="yellow"/>
              </w:rPr>
              <w:t>(Insert from the Accreditation Action Report)</w:t>
            </w:r>
          </w:p>
        </w:tc>
        <w:tc>
          <w:tcPr>
            <w:tcW w:w="2994" w:type="dxa"/>
            <w:shd w:val="clear" w:color="auto" w:fill="auto"/>
          </w:tcPr>
          <w:p w14:paraId="012F0047" w14:textId="77777777" w:rsidR="001E0507" w:rsidRPr="004A3AFA" w:rsidRDefault="001E0507" w:rsidP="004A3AFA">
            <w:pPr>
              <w:jc w:val="center"/>
              <w:rPr>
                <w:rFonts w:cs="Times New Roman"/>
                <w:sz w:val="22"/>
              </w:rPr>
            </w:pPr>
            <w:r w:rsidRPr="004A3AFA">
              <w:rPr>
                <w:rFonts w:cs="Times New Roman"/>
                <w:sz w:val="22"/>
              </w:rPr>
              <w:t>Area for Improvement/Stipulation</w:t>
            </w:r>
          </w:p>
          <w:p w14:paraId="032A4417" w14:textId="77777777" w:rsidR="001E0507" w:rsidRPr="004A3AFA" w:rsidRDefault="001E0507" w:rsidP="004A3AFA">
            <w:pPr>
              <w:jc w:val="center"/>
              <w:rPr>
                <w:rFonts w:cs="Times New Roman"/>
                <w:sz w:val="22"/>
              </w:rPr>
            </w:pPr>
            <w:r w:rsidRPr="00E36330">
              <w:rPr>
                <w:rFonts w:cs="Times New Roman"/>
                <w:sz w:val="22"/>
                <w:highlight w:val="yellow"/>
              </w:rPr>
              <w:t>(Insert from the Accreditation Action Report)</w:t>
            </w:r>
          </w:p>
        </w:tc>
        <w:tc>
          <w:tcPr>
            <w:tcW w:w="1995" w:type="dxa"/>
            <w:shd w:val="clear" w:color="auto" w:fill="auto"/>
          </w:tcPr>
          <w:p w14:paraId="0782E4DA" w14:textId="77777777" w:rsidR="001E0507" w:rsidRPr="004A3AFA" w:rsidRDefault="001E0507" w:rsidP="004A3AFA">
            <w:pPr>
              <w:jc w:val="center"/>
              <w:rPr>
                <w:rFonts w:cs="Times New Roman"/>
                <w:sz w:val="22"/>
              </w:rPr>
            </w:pPr>
            <w:r w:rsidRPr="004A3AFA">
              <w:rPr>
                <w:rFonts w:cs="Times New Roman"/>
                <w:sz w:val="22"/>
              </w:rPr>
              <w:t>Implemented Improvement/ Action</w:t>
            </w:r>
          </w:p>
        </w:tc>
        <w:tc>
          <w:tcPr>
            <w:tcW w:w="3024" w:type="dxa"/>
            <w:shd w:val="clear" w:color="auto" w:fill="auto"/>
          </w:tcPr>
          <w:p w14:paraId="43922A8A" w14:textId="77777777" w:rsidR="001E0507" w:rsidRPr="004A3AFA" w:rsidRDefault="001E0507" w:rsidP="004A3AFA">
            <w:pPr>
              <w:jc w:val="center"/>
              <w:rPr>
                <w:rFonts w:cs="Times New Roman"/>
                <w:sz w:val="22"/>
              </w:rPr>
            </w:pPr>
            <w:r w:rsidRPr="004A3AFA">
              <w:rPr>
                <w:rFonts w:cs="Times New Roman"/>
                <w:sz w:val="22"/>
              </w:rPr>
              <w:t>Supporting Evidence/Documentation</w:t>
            </w:r>
          </w:p>
        </w:tc>
        <w:tc>
          <w:tcPr>
            <w:tcW w:w="1869" w:type="dxa"/>
            <w:shd w:val="clear" w:color="auto" w:fill="auto"/>
          </w:tcPr>
          <w:p w14:paraId="5976C931" w14:textId="77777777" w:rsidR="001E0507" w:rsidRPr="004A3AFA" w:rsidRDefault="001E0507" w:rsidP="004A3AFA">
            <w:pPr>
              <w:jc w:val="center"/>
              <w:rPr>
                <w:rFonts w:cs="Times New Roman"/>
                <w:sz w:val="22"/>
              </w:rPr>
            </w:pPr>
            <w:r w:rsidRPr="004A3AFA">
              <w:rPr>
                <w:rFonts w:cs="Times New Roman"/>
                <w:sz w:val="22"/>
              </w:rPr>
              <w:t>SCDE Analysis</w:t>
            </w:r>
          </w:p>
        </w:tc>
      </w:tr>
      <w:tr w:rsidR="001E0507" w14:paraId="255B9E63" w14:textId="77777777" w:rsidTr="001E0507">
        <w:trPr>
          <w:trHeight w:val="748"/>
        </w:trPr>
        <w:tc>
          <w:tcPr>
            <w:tcW w:w="1820" w:type="dxa"/>
          </w:tcPr>
          <w:p w14:paraId="5CE20FC7" w14:textId="77777777" w:rsidR="001E0507" w:rsidRPr="00E36330" w:rsidRDefault="001E0507" w:rsidP="00F731FF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E36330">
              <w:rPr>
                <w:rFonts w:asciiTheme="majorHAnsi" w:hAnsiTheme="majorHAnsi"/>
                <w:sz w:val="18"/>
                <w:szCs w:val="18"/>
                <w:highlight w:val="yellow"/>
              </w:rPr>
              <w:t>CAEP Standard 5: Provider Quality Assurance and Continuous Improvement.</w:t>
            </w:r>
          </w:p>
          <w:p w14:paraId="6784281F" w14:textId="77777777" w:rsidR="001E0507" w:rsidRPr="00E36330" w:rsidRDefault="001E0507" w:rsidP="00F731FF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  <w:p w14:paraId="54041D81" w14:textId="77777777" w:rsidR="001E0507" w:rsidRPr="00E36330" w:rsidRDefault="001E0507" w:rsidP="00F731FF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  <w:p w14:paraId="3CECBB73" w14:textId="77777777" w:rsidR="001E0507" w:rsidRPr="00E36330" w:rsidRDefault="001E0507" w:rsidP="00F731FF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  <w:p w14:paraId="60DFFF98" w14:textId="77777777" w:rsidR="001E0507" w:rsidRPr="00E36330" w:rsidRDefault="001E0507" w:rsidP="000E0C7C">
            <w:pPr>
              <w:jc w:val="center"/>
              <w:rPr>
                <w:rFonts w:asciiTheme="majorHAnsi" w:hAnsiTheme="majorHAnsi" w:cs="Times New Roman"/>
                <w:szCs w:val="24"/>
                <w:highlight w:val="yellow"/>
              </w:rPr>
            </w:pPr>
            <w:r w:rsidRPr="00E36330">
              <w:rPr>
                <w:rFonts w:asciiTheme="majorHAnsi" w:hAnsiTheme="majorHAnsi" w:cs="Times New Roman"/>
                <w:b/>
                <w:szCs w:val="24"/>
                <w:highlight w:val="yellow"/>
                <w:u w:val="single"/>
              </w:rPr>
              <w:t>SAMPLE</w:t>
            </w:r>
            <w:r w:rsidRPr="00E36330">
              <w:rPr>
                <w:rFonts w:asciiTheme="majorHAnsi" w:hAnsiTheme="majorHAnsi" w:cs="Times New Roman"/>
                <w:szCs w:val="24"/>
                <w:highlight w:val="yellow"/>
              </w:rPr>
              <w:t xml:space="preserve"> (Delete before submitting to SCDE)</w:t>
            </w:r>
          </w:p>
          <w:p w14:paraId="0C5D5BBD" w14:textId="77777777" w:rsidR="001E0507" w:rsidRPr="00CA5C92" w:rsidRDefault="001E0507" w:rsidP="00F731FF">
            <w:pPr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994" w:type="dxa"/>
          </w:tcPr>
          <w:p w14:paraId="74951C40" w14:textId="77777777" w:rsidR="001E0507" w:rsidRPr="00E36330" w:rsidRDefault="00CA5C92" w:rsidP="001E0507">
            <w:pPr>
              <w:autoSpaceDE w:val="0"/>
              <w:autoSpaceDN w:val="0"/>
              <w:adjustRightInd w:val="0"/>
              <w:contextualSpacing w:val="0"/>
              <w:rPr>
                <w:rFonts w:asciiTheme="majorHAnsi" w:hAnsiTheme="majorHAnsi" w:cs="Tahoma"/>
                <w:sz w:val="19"/>
                <w:szCs w:val="19"/>
              </w:rPr>
            </w:pPr>
            <w:r w:rsidRPr="00E36330">
              <w:rPr>
                <w:rFonts w:asciiTheme="majorHAnsi" w:hAnsiTheme="majorHAnsi" w:cs="Tahoma"/>
                <w:sz w:val="19"/>
                <w:szCs w:val="19"/>
                <w:highlight w:val="yellow"/>
                <w:u w:val="single"/>
              </w:rPr>
              <w:t>Standard 5 Stipulation</w:t>
            </w:r>
            <w:r w:rsidR="001E0507" w:rsidRPr="00E36330">
              <w:rPr>
                <w:rFonts w:asciiTheme="majorHAnsi" w:hAnsiTheme="majorHAnsi" w:cs="Tahoma"/>
                <w:sz w:val="19"/>
                <w:szCs w:val="19"/>
                <w:highlight w:val="yellow"/>
                <w:u w:val="single"/>
              </w:rPr>
              <w:t>.</w:t>
            </w:r>
            <w:r w:rsidR="001E0507" w:rsidRPr="00E36330">
              <w:rPr>
                <w:rFonts w:asciiTheme="majorHAnsi" w:hAnsiTheme="majorHAnsi" w:cs="Tahoma"/>
                <w:sz w:val="19"/>
                <w:szCs w:val="19"/>
                <w:highlight w:val="yellow"/>
              </w:rPr>
              <w:t xml:space="preserve"> The EPP does not have a quality assurance system that is comprised of multiple measures that monitor the provider's operational effectiveness. (Component 5.1)</w:t>
            </w:r>
          </w:p>
        </w:tc>
        <w:tc>
          <w:tcPr>
            <w:tcW w:w="1995" w:type="dxa"/>
          </w:tcPr>
          <w:p w14:paraId="1769C51B" w14:textId="77777777" w:rsidR="001E0507" w:rsidRPr="00E36330" w:rsidRDefault="001E0507" w:rsidP="001E050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</w:pP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XYZ University EPP has adopted </w:t>
            </w:r>
            <w:r w:rsidR="00DB0A95"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>ABC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 Electronic </w:t>
            </w:r>
            <w:r w:rsidR="00CA5C92"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>Data System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 to help manage data for operational effectiveness. </w:t>
            </w:r>
          </w:p>
          <w:p w14:paraId="4FBB480B" w14:textId="77777777" w:rsidR="001E0507" w:rsidRPr="00E36330" w:rsidRDefault="001E0507" w:rsidP="001E050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</w:pP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As part of monitoring EPP operational effectiveness, the faculty will meet to determine data that will be collected and analyzed to show provider growth. </w:t>
            </w:r>
          </w:p>
          <w:p w14:paraId="5EC7A06A" w14:textId="77777777" w:rsidR="001E0507" w:rsidRPr="00E36330" w:rsidRDefault="001E0507" w:rsidP="001E0507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 w:cs="Times New Roman"/>
                <w:sz w:val="18"/>
                <w:szCs w:val="18"/>
              </w:rPr>
            </w:pP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>The EPP will develop rubrics for data collection and data sharing</w:t>
            </w:r>
            <w:r w:rsidR="00CA5C92"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 in the electronic data system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>.</w:t>
            </w:r>
          </w:p>
        </w:tc>
        <w:tc>
          <w:tcPr>
            <w:tcW w:w="3024" w:type="dxa"/>
          </w:tcPr>
          <w:p w14:paraId="2B61FB38" w14:textId="77777777" w:rsidR="001E0507" w:rsidRPr="00E36330" w:rsidRDefault="001E0507" w:rsidP="00F731FF">
            <w:pPr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</w:pP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  <w:u w:val="single"/>
              </w:rPr>
              <w:t>Attachment 1: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 Timeline of meetings to monitor data.</w:t>
            </w:r>
          </w:p>
          <w:p w14:paraId="68EF5EB8" w14:textId="77777777" w:rsidR="001E0507" w:rsidRPr="00E36330" w:rsidRDefault="001E0507" w:rsidP="00F731FF">
            <w:pPr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</w:pP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  <w:u w:val="single"/>
              </w:rPr>
              <w:t>Attachment 2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>: Minutes from the faculty meeting on operational effectiveness.</w:t>
            </w:r>
          </w:p>
          <w:p w14:paraId="4211AEB5" w14:textId="77777777" w:rsidR="001E0507" w:rsidRPr="00B9761D" w:rsidRDefault="001E0507" w:rsidP="00F731FF">
            <w:pPr>
              <w:rPr>
                <w:rFonts w:asciiTheme="majorHAnsi" w:hAnsiTheme="majorHAnsi" w:cs="Times New Roman"/>
                <w:szCs w:val="24"/>
                <w:highlight w:val="lightGray"/>
              </w:rPr>
            </w:pP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  <w:u w:val="single"/>
              </w:rPr>
              <w:t>Attachment 3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>: Rubrics and Data sharing chart.</w:t>
            </w:r>
          </w:p>
        </w:tc>
        <w:tc>
          <w:tcPr>
            <w:tcW w:w="1869" w:type="dxa"/>
          </w:tcPr>
          <w:p w14:paraId="3B6824E1" w14:textId="77777777" w:rsidR="001E0507" w:rsidRPr="00E36330" w:rsidRDefault="001E0507" w:rsidP="00CA5C92">
            <w:pPr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</w:pP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The provider has taken steps to ensure that </w:t>
            </w:r>
            <w:r w:rsidR="00CA5C92"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operational effectiveness is improved through the use of an electronic data system. 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Based on the data sharing chart </w:t>
            </w:r>
            <w:r w:rsidR="00CA5C92"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and rubrics 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>the provider</w:t>
            </w:r>
            <w:r w:rsidR="00CA5C92"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 is moving ahead to implement the electronic data system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>. The PRC may consider extending the progress monitoring report to</w:t>
            </w:r>
            <w:r w:rsidR="00CA5C92"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 show</w:t>
            </w:r>
            <w:r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 xml:space="preserve"> </w:t>
            </w:r>
            <w:r w:rsidR="00CA5C92" w:rsidRPr="00E36330">
              <w:rPr>
                <w:rFonts w:asciiTheme="majorHAnsi" w:hAnsiTheme="majorHAnsi" w:cs="Times New Roman"/>
                <w:sz w:val="18"/>
                <w:szCs w:val="18"/>
                <w:highlight w:val="yellow"/>
              </w:rPr>
              <w:t>continuous progress is being made in on-going data collection and use of the data system. Additional supporting evidence may be required to show system implementation.</w:t>
            </w:r>
          </w:p>
        </w:tc>
      </w:tr>
      <w:tr w:rsidR="001E0507" w14:paraId="166A64E0" w14:textId="77777777" w:rsidTr="001E0507">
        <w:trPr>
          <w:trHeight w:val="1365"/>
        </w:trPr>
        <w:tc>
          <w:tcPr>
            <w:tcW w:w="1820" w:type="dxa"/>
          </w:tcPr>
          <w:p w14:paraId="46D7FCDA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  <w:tc>
          <w:tcPr>
            <w:tcW w:w="2994" w:type="dxa"/>
          </w:tcPr>
          <w:p w14:paraId="670C1C92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  <w:tc>
          <w:tcPr>
            <w:tcW w:w="1995" w:type="dxa"/>
          </w:tcPr>
          <w:p w14:paraId="56B10406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  <w:tc>
          <w:tcPr>
            <w:tcW w:w="3024" w:type="dxa"/>
          </w:tcPr>
          <w:p w14:paraId="5FF4451A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  <w:tc>
          <w:tcPr>
            <w:tcW w:w="1869" w:type="dxa"/>
          </w:tcPr>
          <w:p w14:paraId="390BD801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</w:tr>
      <w:tr w:rsidR="001E0507" w14:paraId="35FD5D7A" w14:textId="77777777" w:rsidTr="001E0507">
        <w:trPr>
          <w:trHeight w:val="2156"/>
        </w:trPr>
        <w:tc>
          <w:tcPr>
            <w:tcW w:w="1820" w:type="dxa"/>
          </w:tcPr>
          <w:p w14:paraId="0AAC95EF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  <w:tc>
          <w:tcPr>
            <w:tcW w:w="2994" w:type="dxa"/>
          </w:tcPr>
          <w:p w14:paraId="1A0099EA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  <w:tc>
          <w:tcPr>
            <w:tcW w:w="1995" w:type="dxa"/>
          </w:tcPr>
          <w:p w14:paraId="241D604E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  <w:tc>
          <w:tcPr>
            <w:tcW w:w="3024" w:type="dxa"/>
          </w:tcPr>
          <w:p w14:paraId="16044FF4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  <w:tc>
          <w:tcPr>
            <w:tcW w:w="1869" w:type="dxa"/>
          </w:tcPr>
          <w:p w14:paraId="3E7BFF49" w14:textId="77777777" w:rsidR="001E0507" w:rsidRDefault="001E0507" w:rsidP="00F731FF">
            <w:pPr>
              <w:rPr>
                <w:rFonts w:cs="Times New Roman"/>
                <w:szCs w:val="24"/>
              </w:rPr>
            </w:pPr>
          </w:p>
        </w:tc>
      </w:tr>
    </w:tbl>
    <w:p w14:paraId="53F7CF83" w14:textId="116B606A" w:rsidR="009109F5" w:rsidRDefault="004A3AFA" w:rsidP="00F731FF">
      <w:pPr>
        <w:rPr>
          <w:rFonts w:cs="Times New Roman"/>
          <w:szCs w:val="24"/>
        </w:rPr>
      </w:pPr>
      <w:r w:rsidRPr="00E36330">
        <w:rPr>
          <w:rFonts w:cs="Times New Roman"/>
          <w:szCs w:val="24"/>
          <w:highlight w:val="yellow"/>
        </w:rPr>
        <w:t xml:space="preserve">*The </w:t>
      </w:r>
      <w:r w:rsidR="00B9761D" w:rsidRPr="00E36330">
        <w:rPr>
          <w:rFonts w:cs="Times New Roman"/>
          <w:szCs w:val="24"/>
          <w:highlight w:val="yellow"/>
        </w:rPr>
        <w:t>shaded</w:t>
      </w:r>
      <w:r w:rsidRPr="00E36330">
        <w:rPr>
          <w:rFonts w:cs="Times New Roman"/>
          <w:szCs w:val="24"/>
          <w:highlight w:val="yellow"/>
        </w:rPr>
        <w:t xml:space="preserve"> text should be deleted before submission of the </w:t>
      </w:r>
      <w:r w:rsidR="00643564" w:rsidRPr="00E36330">
        <w:rPr>
          <w:rFonts w:cs="Times New Roman"/>
          <w:szCs w:val="24"/>
          <w:highlight w:val="yellow"/>
        </w:rPr>
        <w:t>progress monitoring report</w:t>
      </w:r>
      <w:r w:rsidRPr="00E36330">
        <w:rPr>
          <w:rFonts w:cs="Times New Roman"/>
          <w:szCs w:val="24"/>
          <w:highlight w:val="yellow"/>
        </w:rPr>
        <w:t>.</w:t>
      </w:r>
    </w:p>
    <w:p w14:paraId="64E0A549" w14:textId="77777777" w:rsidR="009575F6" w:rsidRDefault="009575F6" w:rsidP="00F731FF">
      <w:pPr>
        <w:rPr>
          <w:rFonts w:cs="Times New Roman"/>
          <w:szCs w:val="24"/>
        </w:rPr>
      </w:pPr>
    </w:p>
    <w:p w14:paraId="1931D36A" w14:textId="77777777" w:rsidR="009575F6" w:rsidRDefault="009575F6" w:rsidP="00F731FF">
      <w:pPr>
        <w:rPr>
          <w:rFonts w:cs="Times New Roman"/>
          <w:szCs w:val="24"/>
        </w:rPr>
      </w:pPr>
    </w:p>
    <w:p w14:paraId="27884095" w14:textId="77777777" w:rsidR="009575F6" w:rsidRDefault="009575F6" w:rsidP="00F731FF">
      <w:pPr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____________________________________________</w:t>
      </w:r>
    </w:p>
    <w:p w14:paraId="31225B03" w14:textId="77777777" w:rsidR="009575F6" w:rsidRPr="00F731FF" w:rsidRDefault="009575F6" w:rsidP="00F731FF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Preparer Signature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Date</w:t>
      </w:r>
    </w:p>
    <w:sectPr w:rsidR="009575F6" w:rsidRPr="00F731FF" w:rsidSect="00CF2B3D">
      <w:footerReference w:type="default" r:id="rId8"/>
      <w:pgSz w:w="15840" w:h="12240" w:orient="landscape"/>
      <w:pgMar w:top="1440" w:right="1440" w:bottom="1440" w:left="1440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0D44" w14:textId="77777777" w:rsidR="00C754C5" w:rsidRDefault="00C754C5" w:rsidP="0090728C">
      <w:pPr>
        <w:spacing w:after="0"/>
      </w:pPr>
      <w:r>
        <w:separator/>
      </w:r>
    </w:p>
  </w:endnote>
  <w:endnote w:type="continuationSeparator" w:id="0">
    <w:p w14:paraId="02C97C32" w14:textId="77777777" w:rsidR="00C754C5" w:rsidRDefault="00C754C5" w:rsidP="0090728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8327E" w14:textId="77777777" w:rsidR="000E2603" w:rsidRDefault="000E2603">
    <w:pPr>
      <w:pStyle w:val="Footer"/>
    </w:pPr>
    <w:r>
      <w:t xml:space="preserve">Page </w:t>
    </w:r>
    <w:sdt>
      <w:sdtPr>
        <w:id w:val="-157711949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C93">
          <w:rPr>
            <w:noProof/>
          </w:rPr>
          <w:t>- 2 -</w:t>
        </w:r>
        <w:r>
          <w:rPr>
            <w:noProof/>
          </w:rPr>
          <w:fldChar w:fldCharType="end"/>
        </w:r>
      </w:sdtContent>
    </w:sdt>
  </w:p>
  <w:p w14:paraId="07A5D701" w14:textId="77777777" w:rsidR="00CF2B3D" w:rsidRDefault="00CF2B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413A4" w14:textId="77777777" w:rsidR="00C754C5" w:rsidRDefault="00C754C5" w:rsidP="0090728C">
      <w:pPr>
        <w:spacing w:after="0"/>
      </w:pPr>
      <w:r>
        <w:separator/>
      </w:r>
    </w:p>
  </w:footnote>
  <w:footnote w:type="continuationSeparator" w:id="0">
    <w:p w14:paraId="7C177DB1" w14:textId="77777777" w:rsidR="00C754C5" w:rsidRDefault="00C754C5" w:rsidP="0090728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D28"/>
    <w:multiLevelType w:val="hybridMultilevel"/>
    <w:tmpl w:val="646016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A7A24"/>
    <w:multiLevelType w:val="hybridMultilevel"/>
    <w:tmpl w:val="F586A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E5FA1"/>
    <w:multiLevelType w:val="hybridMultilevel"/>
    <w:tmpl w:val="BD9A6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B56E5E"/>
    <w:multiLevelType w:val="hybridMultilevel"/>
    <w:tmpl w:val="9EB64D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9201480">
    <w:abstractNumId w:val="1"/>
  </w:num>
  <w:num w:numId="2" w16cid:durableId="12341632">
    <w:abstractNumId w:val="0"/>
  </w:num>
  <w:num w:numId="3" w16cid:durableId="1550727188">
    <w:abstractNumId w:val="3"/>
  </w:num>
  <w:num w:numId="4" w16cid:durableId="1559591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3E7"/>
    <w:rsid w:val="00035398"/>
    <w:rsid w:val="000939B9"/>
    <w:rsid w:val="000E0C7C"/>
    <w:rsid w:val="000E2603"/>
    <w:rsid w:val="00106389"/>
    <w:rsid w:val="001211FC"/>
    <w:rsid w:val="001D47E9"/>
    <w:rsid w:val="001E0507"/>
    <w:rsid w:val="001E0D84"/>
    <w:rsid w:val="0027263B"/>
    <w:rsid w:val="002811A8"/>
    <w:rsid w:val="004A3AFA"/>
    <w:rsid w:val="004C5BF5"/>
    <w:rsid w:val="004C62F3"/>
    <w:rsid w:val="005022B0"/>
    <w:rsid w:val="00643564"/>
    <w:rsid w:val="00646C91"/>
    <w:rsid w:val="00666A9E"/>
    <w:rsid w:val="00682A92"/>
    <w:rsid w:val="00684C93"/>
    <w:rsid w:val="006D2286"/>
    <w:rsid w:val="00793832"/>
    <w:rsid w:val="007D4C1E"/>
    <w:rsid w:val="00894D0F"/>
    <w:rsid w:val="008E4BC4"/>
    <w:rsid w:val="0090728C"/>
    <w:rsid w:val="009109F5"/>
    <w:rsid w:val="00936831"/>
    <w:rsid w:val="009575F6"/>
    <w:rsid w:val="00972CC5"/>
    <w:rsid w:val="009773E7"/>
    <w:rsid w:val="009F20BC"/>
    <w:rsid w:val="00A10484"/>
    <w:rsid w:val="00A11AF6"/>
    <w:rsid w:val="00B6086C"/>
    <w:rsid w:val="00B64FEA"/>
    <w:rsid w:val="00B9761D"/>
    <w:rsid w:val="00BE0547"/>
    <w:rsid w:val="00C2074D"/>
    <w:rsid w:val="00C754C5"/>
    <w:rsid w:val="00C7559C"/>
    <w:rsid w:val="00CA5C92"/>
    <w:rsid w:val="00CE1182"/>
    <w:rsid w:val="00CF2B3D"/>
    <w:rsid w:val="00D91347"/>
    <w:rsid w:val="00DB0A95"/>
    <w:rsid w:val="00DB1B8D"/>
    <w:rsid w:val="00DE0B98"/>
    <w:rsid w:val="00DF2196"/>
    <w:rsid w:val="00E36330"/>
    <w:rsid w:val="00E644DA"/>
    <w:rsid w:val="00E9735C"/>
    <w:rsid w:val="00F41487"/>
    <w:rsid w:val="00F731FF"/>
    <w:rsid w:val="00F911FD"/>
    <w:rsid w:val="00F93ADE"/>
    <w:rsid w:val="00FC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C2F04E"/>
  <w15:chartTrackingRefBased/>
  <w15:docId w15:val="{888F36F5-84C9-4A00-97BD-26F2DF01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73E7"/>
    <w:rPr>
      <w:color w:val="808080"/>
    </w:rPr>
  </w:style>
  <w:style w:type="table" w:styleId="TableGrid">
    <w:name w:val="Table Grid"/>
    <w:basedOn w:val="TableNormal"/>
    <w:uiPriority w:val="59"/>
    <w:rsid w:val="00910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44DA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90728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0728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0728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0728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0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900CD-8BF7-4CF4-B39C-CBEE3800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Progress Monitoring Report 3.23.2022</dc:title>
  <dc:subject/>
  <dc:creator>South Carolina Department of Education</dc:creator>
  <cp:keywords/>
  <dc:description/>
  <cp:lastModifiedBy>Whitney Jett</cp:lastModifiedBy>
  <cp:revision>2</cp:revision>
  <cp:lastPrinted>2018-09-21T12:01:00Z</cp:lastPrinted>
  <dcterms:created xsi:type="dcterms:W3CDTF">2022-08-09T18:10:00Z</dcterms:created>
  <dcterms:modified xsi:type="dcterms:W3CDTF">2022-08-09T18:10:00Z</dcterms:modified>
</cp:coreProperties>
</file>