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2EEC2" w14:textId="77777777" w:rsidR="0072107D" w:rsidRDefault="0072107D" w:rsidP="00B1503E">
      <w:pPr>
        <w:pStyle w:val="Title"/>
        <w:rPr>
          <w:rFonts w:ascii="Arial" w:hAnsi="Arial"/>
        </w:rPr>
      </w:pPr>
      <w:r>
        <w:rPr>
          <w:rFonts w:ascii="Arial" w:hAnsi="Arial"/>
        </w:rPr>
        <w:t>RESULTS</w:t>
      </w:r>
      <w:r w:rsidR="00110FBA">
        <w:rPr>
          <w:rFonts w:ascii="Arial" w:hAnsi="Arial"/>
        </w:rPr>
        <w:t xml:space="preserve"> </w:t>
      </w:r>
      <w:r>
        <w:rPr>
          <w:rFonts w:ascii="Arial" w:hAnsi="Arial"/>
        </w:rPr>
        <w:t>OF</w:t>
      </w:r>
      <w:r w:rsidR="00110FBA">
        <w:rPr>
          <w:rFonts w:ascii="Arial" w:hAnsi="Arial"/>
        </w:rPr>
        <w:t xml:space="preserve"> </w:t>
      </w:r>
      <w:r>
        <w:rPr>
          <w:rFonts w:ascii="Arial" w:hAnsi="Arial"/>
        </w:rPr>
        <w:t>THE</w:t>
      </w:r>
      <w:r w:rsidR="00110FBA">
        <w:rPr>
          <w:rFonts w:ascii="Arial" w:hAnsi="Arial"/>
        </w:rPr>
        <w:t xml:space="preserve"> </w:t>
      </w:r>
      <w:r>
        <w:rPr>
          <w:rFonts w:ascii="Arial" w:hAnsi="Arial"/>
        </w:rPr>
        <w:t>ADVANCED</w:t>
      </w:r>
      <w:r w:rsidR="00110FBA">
        <w:rPr>
          <w:rFonts w:ascii="Arial" w:hAnsi="Arial"/>
        </w:rPr>
        <w:t xml:space="preserve"> </w:t>
      </w:r>
      <w:r>
        <w:rPr>
          <w:rFonts w:ascii="Arial" w:hAnsi="Arial"/>
        </w:rPr>
        <w:t>PLACEMENT</w:t>
      </w:r>
      <w:r w:rsidR="00110FBA">
        <w:rPr>
          <w:rFonts w:ascii="Arial" w:hAnsi="Arial"/>
        </w:rPr>
        <w:t xml:space="preserve"> </w:t>
      </w:r>
      <w:r>
        <w:rPr>
          <w:rFonts w:ascii="Arial" w:hAnsi="Arial"/>
        </w:rPr>
        <w:t>(AP)</w:t>
      </w:r>
      <w:r w:rsidR="00B63409">
        <w:rPr>
          <w:rFonts w:ascii="Arial" w:hAnsi="Arial"/>
        </w:rPr>
        <w:t>*</w:t>
      </w:r>
      <w:r w:rsidR="00110FBA">
        <w:rPr>
          <w:rFonts w:ascii="Arial" w:hAnsi="Arial"/>
        </w:rPr>
        <w:t xml:space="preserve"> </w:t>
      </w:r>
      <w:r>
        <w:rPr>
          <w:rFonts w:ascii="Arial" w:hAnsi="Arial"/>
        </w:rPr>
        <w:t>EXAMINATIONS</w:t>
      </w:r>
      <w:r w:rsidR="00110FBA">
        <w:rPr>
          <w:rFonts w:ascii="Arial" w:hAnsi="Arial"/>
        </w:rPr>
        <w:t xml:space="preserve"> </w:t>
      </w:r>
      <w:r w:rsidR="00D4592C" w:rsidRPr="003B34E0">
        <w:rPr>
          <w:rFonts w:ascii="Arial" w:hAnsi="Arial"/>
          <w:i/>
          <w:iCs/>
          <w:highlight w:val="yellow"/>
        </w:rPr>
        <w:t>20</w:t>
      </w:r>
      <w:r w:rsidR="00CD216F" w:rsidRPr="003B34E0">
        <w:rPr>
          <w:rFonts w:ascii="Arial" w:hAnsi="Arial"/>
          <w:i/>
          <w:iCs/>
          <w:highlight w:val="yellow"/>
        </w:rPr>
        <w:t>2</w:t>
      </w:r>
      <w:r w:rsidR="00FD522B" w:rsidRPr="003B34E0">
        <w:rPr>
          <w:rFonts w:ascii="Arial" w:hAnsi="Arial"/>
          <w:i/>
          <w:iCs/>
          <w:highlight w:val="yellow"/>
        </w:rPr>
        <w:t>4</w:t>
      </w:r>
    </w:p>
    <w:p w14:paraId="499E4DEF" w14:textId="77777777" w:rsidR="00B1503E" w:rsidRDefault="00B1503E" w:rsidP="00B1503E">
      <w:pPr>
        <w:pStyle w:val="Title"/>
        <w:rPr>
          <w:rFonts w:ascii="Arial" w:hAnsi="Arial"/>
        </w:rPr>
      </w:pPr>
    </w:p>
    <w:p w14:paraId="5920B246" w14:textId="77777777" w:rsidR="0072107D" w:rsidRPr="00FB5968" w:rsidRDefault="0072107D">
      <w:pPr>
        <w:pStyle w:val="Subtitle"/>
        <w:rPr>
          <w:szCs w:val="24"/>
        </w:rPr>
      </w:pPr>
      <w:r w:rsidRPr="00FB5968">
        <w:rPr>
          <w:szCs w:val="24"/>
        </w:rPr>
        <w:t>Advanced</w:t>
      </w:r>
      <w:r w:rsidR="00110FBA" w:rsidRPr="00FB5968">
        <w:rPr>
          <w:szCs w:val="24"/>
        </w:rPr>
        <w:t xml:space="preserve"> </w:t>
      </w:r>
      <w:r w:rsidRPr="00FB5968">
        <w:rPr>
          <w:szCs w:val="24"/>
        </w:rPr>
        <w:t>Placement</w:t>
      </w:r>
      <w:r w:rsidR="00110FBA" w:rsidRPr="00FB5968">
        <w:rPr>
          <w:szCs w:val="24"/>
        </w:rPr>
        <w:t xml:space="preserve"> </w:t>
      </w:r>
      <w:r w:rsidRPr="00FB5968">
        <w:rPr>
          <w:szCs w:val="24"/>
        </w:rPr>
        <w:t>Results</w:t>
      </w:r>
    </w:p>
    <w:p w14:paraId="56640936" w14:textId="77777777" w:rsidR="0072107D" w:rsidRDefault="0072107D">
      <w:pPr>
        <w:rPr>
          <w:rFonts w:ascii="Arial" w:hAnsi="Arial"/>
          <w:sz w:val="24"/>
        </w:rPr>
      </w:pPr>
    </w:p>
    <w:p w14:paraId="56C23807" w14:textId="77777777" w:rsidR="00320029" w:rsidRPr="009D6989" w:rsidRDefault="0072107D">
      <w:pPr>
        <w:pStyle w:val="BodyTextIndent"/>
        <w:ind w:firstLine="0"/>
        <w:rPr>
          <w:rFonts w:ascii="Arial" w:hAnsi="Arial" w:cs="Arial"/>
          <w:sz w:val="24"/>
        </w:rPr>
      </w:pPr>
      <w:r w:rsidRPr="009D6989">
        <w:rPr>
          <w:rFonts w:ascii="Arial" w:hAnsi="Arial" w:cs="Arial"/>
          <w:sz w:val="24"/>
        </w:rPr>
        <w:t>Since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1984,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each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school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district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in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South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Carolina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has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been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required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to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provide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Advanced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Placement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(AP)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courses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in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all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secondary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schools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that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include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grade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eleven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or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twelve.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These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classes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prepare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students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for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the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national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AP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examinations.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Students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who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score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3,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4,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or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5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on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an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AP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exam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are,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in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many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instances,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considered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qualified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to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receive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credit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for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the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equivalent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course(s)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at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colleges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and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universities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that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give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credit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for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AP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exams.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The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data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in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this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document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are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presented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for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high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school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students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who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participated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in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AP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courses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in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the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state’s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public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schools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and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took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at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least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one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AP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exam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during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the</w:t>
      </w:r>
      <w:r w:rsidR="00110FBA" w:rsidRPr="009D6989">
        <w:rPr>
          <w:rFonts w:ascii="Arial" w:hAnsi="Arial" w:cs="Arial"/>
          <w:sz w:val="24"/>
        </w:rPr>
        <w:t xml:space="preserve"> </w:t>
      </w:r>
      <w:r w:rsidR="001E3609" w:rsidRPr="0068167F">
        <w:rPr>
          <w:rFonts w:ascii="Arial" w:hAnsi="Arial" w:cs="Arial"/>
          <w:i/>
          <w:iCs/>
          <w:sz w:val="24"/>
          <w:highlight w:val="yellow"/>
        </w:rPr>
        <w:t>20</w:t>
      </w:r>
      <w:r w:rsidR="00764EB6" w:rsidRPr="0068167F">
        <w:rPr>
          <w:rFonts w:ascii="Arial" w:hAnsi="Arial" w:cs="Arial"/>
          <w:i/>
          <w:iCs/>
          <w:sz w:val="24"/>
          <w:highlight w:val="yellow"/>
        </w:rPr>
        <w:t>2</w:t>
      </w:r>
      <w:r w:rsidR="00FD522B" w:rsidRPr="0068167F">
        <w:rPr>
          <w:rFonts w:ascii="Arial" w:hAnsi="Arial" w:cs="Arial"/>
          <w:i/>
          <w:iCs/>
          <w:sz w:val="24"/>
          <w:highlight w:val="yellow"/>
        </w:rPr>
        <w:t>3</w:t>
      </w:r>
      <w:r w:rsidR="00911BB8" w:rsidRPr="0068167F">
        <w:rPr>
          <w:rFonts w:ascii="Arial" w:hAnsi="Arial" w:cs="Arial"/>
          <w:i/>
          <w:iCs/>
          <w:sz w:val="24"/>
          <w:highlight w:val="yellow"/>
        </w:rPr>
        <w:t>–</w:t>
      </w:r>
      <w:r w:rsidR="001E3609" w:rsidRPr="0068167F">
        <w:rPr>
          <w:rFonts w:ascii="Arial" w:hAnsi="Arial" w:cs="Arial"/>
          <w:i/>
          <w:iCs/>
          <w:sz w:val="24"/>
          <w:highlight w:val="yellow"/>
        </w:rPr>
        <w:t>20</w:t>
      </w:r>
      <w:r w:rsidR="00764EB6" w:rsidRPr="0068167F">
        <w:rPr>
          <w:rFonts w:ascii="Arial" w:hAnsi="Arial" w:cs="Arial"/>
          <w:i/>
          <w:iCs/>
          <w:sz w:val="24"/>
          <w:highlight w:val="yellow"/>
        </w:rPr>
        <w:t>2</w:t>
      </w:r>
      <w:r w:rsidR="00FD522B" w:rsidRPr="0068167F">
        <w:rPr>
          <w:rFonts w:ascii="Arial" w:hAnsi="Arial" w:cs="Arial"/>
          <w:i/>
          <w:iCs/>
          <w:sz w:val="24"/>
          <w:highlight w:val="yellow"/>
        </w:rPr>
        <w:t>4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school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year.</w:t>
      </w:r>
    </w:p>
    <w:p w14:paraId="73EC5575" w14:textId="77777777" w:rsidR="009D6989" w:rsidRPr="009D6989" w:rsidRDefault="009D6989">
      <w:pPr>
        <w:pStyle w:val="BodyTextIndent"/>
        <w:ind w:firstLine="0"/>
        <w:rPr>
          <w:rFonts w:ascii="Arial" w:hAnsi="Arial" w:cs="Arial"/>
          <w:sz w:val="24"/>
        </w:rPr>
      </w:pPr>
    </w:p>
    <w:p w14:paraId="4C975F71" w14:textId="4EA5C430" w:rsidR="009D6989" w:rsidRPr="009D6989" w:rsidRDefault="00913E59">
      <w:pPr>
        <w:pStyle w:val="BodyTextIndent"/>
        <w:ind w:firstLine="0"/>
        <w:rPr>
          <w:rFonts w:ascii="Arial" w:hAnsi="Arial" w:cs="Arial"/>
          <w:color w:val="FF0000"/>
          <w:sz w:val="24"/>
        </w:rPr>
      </w:pPr>
      <w:r w:rsidRPr="00E70E38">
        <w:rPr>
          <w:noProof/>
        </w:rPr>
        <w:drawing>
          <wp:inline distT="0" distB="0" distL="0" distR="0" wp14:anchorId="56348BA5" wp14:editId="299D2A21">
            <wp:extent cx="5946140" cy="2776855"/>
            <wp:effectExtent l="0" t="0" r="16510" b="4445"/>
            <wp:docPr id="2" name="Chart 1" descr="Chart with the past 10 years of data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635484B" w14:textId="77777777" w:rsidR="0072107D" w:rsidRPr="009D6989" w:rsidRDefault="0072107D">
      <w:pPr>
        <w:rPr>
          <w:rFonts w:ascii="Arial" w:hAnsi="Arial" w:cs="Arial"/>
          <w:sz w:val="24"/>
        </w:rPr>
      </w:pPr>
    </w:p>
    <w:p w14:paraId="252341B6" w14:textId="77777777" w:rsidR="0072107D" w:rsidRPr="009D6989" w:rsidRDefault="0072107D">
      <w:pPr>
        <w:pStyle w:val="BodyTextIndent"/>
        <w:ind w:firstLine="0"/>
        <w:rPr>
          <w:rFonts w:ascii="Arial" w:hAnsi="Arial" w:cs="Arial"/>
          <w:sz w:val="24"/>
        </w:rPr>
      </w:pPr>
      <w:r w:rsidRPr="009D6989">
        <w:rPr>
          <w:rFonts w:ascii="Arial" w:hAnsi="Arial" w:cs="Arial"/>
          <w:sz w:val="24"/>
        </w:rPr>
        <w:t>The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percentage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of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examinations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with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scores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of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3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or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higher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for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South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Carolina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public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school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students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in</w:t>
      </w:r>
      <w:r w:rsidR="00110FBA" w:rsidRPr="009D6989">
        <w:rPr>
          <w:rFonts w:ascii="Arial" w:hAnsi="Arial" w:cs="Arial"/>
          <w:sz w:val="24"/>
        </w:rPr>
        <w:t xml:space="preserve"> </w:t>
      </w:r>
      <w:r w:rsidR="001E3609" w:rsidRPr="0068167F">
        <w:rPr>
          <w:rFonts w:ascii="Arial" w:hAnsi="Arial" w:cs="Arial"/>
          <w:i/>
          <w:iCs/>
          <w:sz w:val="24"/>
          <w:highlight w:val="yellow"/>
        </w:rPr>
        <w:t>20</w:t>
      </w:r>
      <w:r w:rsidR="00007F8E" w:rsidRPr="0068167F">
        <w:rPr>
          <w:rFonts w:ascii="Arial" w:hAnsi="Arial" w:cs="Arial"/>
          <w:i/>
          <w:iCs/>
          <w:sz w:val="24"/>
          <w:highlight w:val="yellow"/>
        </w:rPr>
        <w:t>2</w:t>
      </w:r>
      <w:r w:rsidR="00FD522B" w:rsidRPr="0068167F">
        <w:rPr>
          <w:rFonts w:ascii="Arial" w:hAnsi="Arial" w:cs="Arial"/>
          <w:i/>
          <w:iCs/>
          <w:sz w:val="24"/>
          <w:highlight w:val="yellow"/>
        </w:rPr>
        <w:t>4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was</w:t>
      </w:r>
      <w:r w:rsidR="00110FBA" w:rsidRPr="009D6989">
        <w:rPr>
          <w:rFonts w:ascii="Arial" w:hAnsi="Arial" w:cs="Arial"/>
          <w:sz w:val="24"/>
        </w:rPr>
        <w:t xml:space="preserve"> </w:t>
      </w:r>
      <w:r w:rsidR="00FD522B" w:rsidRPr="0068167F">
        <w:rPr>
          <w:rFonts w:ascii="Arial" w:hAnsi="Arial" w:cs="Arial"/>
          <w:i/>
          <w:iCs/>
          <w:sz w:val="24"/>
          <w:highlight w:val="yellow"/>
        </w:rPr>
        <w:t>70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percent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(</w:t>
      </w:r>
      <w:r w:rsidR="00FD522B" w:rsidRPr="0068167F">
        <w:rPr>
          <w:rFonts w:ascii="Arial" w:hAnsi="Arial" w:cs="Arial"/>
          <w:i/>
          <w:iCs/>
          <w:sz w:val="24"/>
          <w:highlight w:val="yellow"/>
        </w:rPr>
        <w:t>34,884</w:t>
      </w:r>
      <w:r w:rsidR="00FD522B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out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of</w:t>
      </w:r>
      <w:r w:rsidR="00110FBA" w:rsidRPr="009D6989">
        <w:rPr>
          <w:rFonts w:ascii="Arial" w:hAnsi="Arial" w:cs="Arial"/>
          <w:sz w:val="24"/>
        </w:rPr>
        <w:t xml:space="preserve"> </w:t>
      </w:r>
      <w:r w:rsidR="00FD522B" w:rsidRPr="0068167F">
        <w:rPr>
          <w:rFonts w:ascii="Arial" w:hAnsi="Arial" w:cs="Arial"/>
          <w:i/>
          <w:iCs/>
          <w:sz w:val="24"/>
          <w:highlight w:val="yellow"/>
        </w:rPr>
        <w:t>49,751</w:t>
      </w:r>
      <w:r w:rsidRPr="009D6989">
        <w:rPr>
          <w:rFonts w:ascii="Arial" w:hAnsi="Arial" w:cs="Arial"/>
          <w:sz w:val="24"/>
        </w:rPr>
        <w:t>).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The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number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of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exams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taken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in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South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Carolina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public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schools</w:t>
      </w:r>
      <w:r w:rsidR="00110FBA" w:rsidRPr="009D6989">
        <w:rPr>
          <w:rFonts w:ascii="Arial" w:hAnsi="Arial" w:cs="Arial"/>
          <w:sz w:val="24"/>
        </w:rPr>
        <w:t xml:space="preserve"> </w:t>
      </w:r>
      <w:r w:rsidR="00DB3FEA" w:rsidRPr="009D6989">
        <w:rPr>
          <w:rFonts w:ascii="Arial" w:hAnsi="Arial" w:cs="Arial"/>
          <w:sz w:val="24"/>
        </w:rPr>
        <w:t>increased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from</w:t>
      </w:r>
      <w:r w:rsidR="00110FBA" w:rsidRPr="009D6989">
        <w:rPr>
          <w:rFonts w:ascii="Arial" w:hAnsi="Arial" w:cs="Arial"/>
          <w:sz w:val="24"/>
        </w:rPr>
        <w:t xml:space="preserve"> </w:t>
      </w:r>
      <w:r w:rsidR="00FD522B" w:rsidRPr="0068167F">
        <w:rPr>
          <w:rFonts w:ascii="Arial" w:hAnsi="Arial" w:cs="Arial"/>
          <w:i/>
          <w:iCs/>
          <w:sz w:val="24"/>
          <w:highlight w:val="yellow"/>
        </w:rPr>
        <w:t>47,336</w:t>
      </w:r>
      <w:r w:rsidR="00FD522B" w:rsidRPr="009D6989">
        <w:rPr>
          <w:rFonts w:ascii="Arial" w:hAnsi="Arial" w:cs="Arial"/>
          <w:sz w:val="24"/>
        </w:rPr>
        <w:t xml:space="preserve"> </w:t>
      </w:r>
      <w:r w:rsidR="006464EF" w:rsidRPr="009D6989">
        <w:rPr>
          <w:rFonts w:ascii="Arial" w:hAnsi="Arial" w:cs="Arial"/>
          <w:sz w:val="24"/>
        </w:rPr>
        <w:t xml:space="preserve">in </w:t>
      </w:r>
      <w:r w:rsidR="006464EF" w:rsidRPr="0068167F">
        <w:rPr>
          <w:rFonts w:ascii="Arial" w:hAnsi="Arial" w:cs="Arial"/>
          <w:i/>
          <w:iCs/>
          <w:sz w:val="24"/>
          <w:highlight w:val="yellow"/>
        </w:rPr>
        <w:t>202</w:t>
      </w:r>
      <w:r w:rsidR="00FD522B" w:rsidRPr="0068167F">
        <w:rPr>
          <w:rFonts w:ascii="Arial" w:hAnsi="Arial" w:cs="Arial"/>
          <w:i/>
          <w:iCs/>
          <w:sz w:val="24"/>
          <w:highlight w:val="yellow"/>
        </w:rPr>
        <w:t>3</w:t>
      </w:r>
      <w:r w:rsidR="00DB3FEA" w:rsidRPr="009D6989">
        <w:rPr>
          <w:rFonts w:ascii="Arial" w:hAnsi="Arial" w:cs="Arial"/>
          <w:sz w:val="24"/>
        </w:rPr>
        <w:t xml:space="preserve"> to </w:t>
      </w:r>
      <w:r w:rsidR="00FD522B" w:rsidRPr="0068167F">
        <w:rPr>
          <w:rFonts w:ascii="Arial" w:hAnsi="Arial" w:cs="Arial"/>
          <w:i/>
          <w:iCs/>
          <w:sz w:val="24"/>
          <w:highlight w:val="yellow"/>
        </w:rPr>
        <w:t>49,751</w:t>
      </w:r>
      <w:r w:rsidR="00FD522B" w:rsidRPr="009D6989">
        <w:rPr>
          <w:rFonts w:ascii="Arial" w:hAnsi="Arial" w:cs="Arial"/>
          <w:sz w:val="24"/>
        </w:rPr>
        <w:t xml:space="preserve"> </w:t>
      </w:r>
      <w:r w:rsidR="00DB3FEA" w:rsidRPr="009D6989">
        <w:rPr>
          <w:rFonts w:ascii="Arial" w:hAnsi="Arial" w:cs="Arial"/>
          <w:sz w:val="24"/>
        </w:rPr>
        <w:t xml:space="preserve">in </w:t>
      </w:r>
      <w:r w:rsidR="00FD522B" w:rsidRPr="0068167F">
        <w:rPr>
          <w:rFonts w:ascii="Arial" w:hAnsi="Arial" w:cs="Arial"/>
          <w:i/>
          <w:iCs/>
          <w:sz w:val="24"/>
          <w:highlight w:val="yellow"/>
        </w:rPr>
        <w:t>2024</w:t>
      </w:r>
      <w:r w:rsidRPr="009D6989">
        <w:rPr>
          <w:rFonts w:ascii="Arial" w:hAnsi="Arial" w:cs="Arial"/>
          <w:sz w:val="24"/>
        </w:rPr>
        <w:t>,</w:t>
      </w:r>
      <w:r w:rsidR="00110FBA" w:rsidRPr="009D6989">
        <w:rPr>
          <w:rFonts w:ascii="Arial" w:hAnsi="Arial" w:cs="Arial"/>
          <w:sz w:val="24"/>
        </w:rPr>
        <w:t xml:space="preserve"> </w:t>
      </w:r>
      <w:r w:rsidR="00D42F24" w:rsidRPr="009D6989">
        <w:rPr>
          <w:rFonts w:ascii="Arial" w:hAnsi="Arial" w:cs="Arial"/>
          <w:sz w:val="24"/>
        </w:rPr>
        <w:t>and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the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number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of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test-takers</w:t>
      </w:r>
      <w:r w:rsidR="00110FBA" w:rsidRPr="009D6989">
        <w:rPr>
          <w:rFonts w:ascii="Arial" w:hAnsi="Arial" w:cs="Arial"/>
          <w:sz w:val="24"/>
        </w:rPr>
        <w:t xml:space="preserve"> </w:t>
      </w:r>
      <w:r w:rsidR="00DB3FEA" w:rsidRPr="009D6989">
        <w:rPr>
          <w:rFonts w:ascii="Arial" w:hAnsi="Arial" w:cs="Arial"/>
          <w:sz w:val="24"/>
        </w:rPr>
        <w:t>increased</w:t>
      </w:r>
      <w:r w:rsidR="00110FBA" w:rsidRPr="009D6989">
        <w:rPr>
          <w:rFonts w:ascii="Arial" w:hAnsi="Arial" w:cs="Arial"/>
          <w:sz w:val="24"/>
        </w:rPr>
        <w:t xml:space="preserve"> </w:t>
      </w:r>
      <w:r w:rsidRPr="009D6989">
        <w:rPr>
          <w:rFonts w:ascii="Arial" w:hAnsi="Arial" w:cs="Arial"/>
          <w:sz w:val="24"/>
        </w:rPr>
        <w:t>from</w:t>
      </w:r>
      <w:r w:rsidR="00110FBA" w:rsidRPr="009D6989">
        <w:rPr>
          <w:rFonts w:ascii="Arial" w:hAnsi="Arial" w:cs="Arial"/>
          <w:sz w:val="24"/>
        </w:rPr>
        <w:t xml:space="preserve"> </w:t>
      </w:r>
      <w:r w:rsidR="00FD522B" w:rsidRPr="0068167F">
        <w:rPr>
          <w:rFonts w:ascii="Arial" w:hAnsi="Arial" w:cs="Arial"/>
          <w:i/>
          <w:iCs/>
          <w:sz w:val="24"/>
          <w:highlight w:val="yellow"/>
        </w:rPr>
        <w:t>29,838</w:t>
      </w:r>
      <w:r w:rsidR="00FD522B" w:rsidRPr="009D6989">
        <w:rPr>
          <w:rFonts w:ascii="Arial" w:hAnsi="Arial" w:cs="Arial"/>
          <w:sz w:val="24"/>
        </w:rPr>
        <w:t xml:space="preserve"> in </w:t>
      </w:r>
      <w:r w:rsidR="00FD522B" w:rsidRPr="0068167F">
        <w:rPr>
          <w:rFonts w:ascii="Arial" w:hAnsi="Arial" w:cs="Arial"/>
          <w:i/>
          <w:iCs/>
          <w:sz w:val="24"/>
          <w:highlight w:val="yellow"/>
        </w:rPr>
        <w:t>2023</w:t>
      </w:r>
      <w:r w:rsidR="00FD522B" w:rsidRPr="009D6989">
        <w:rPr>
          <w:rFonts w:ascii="Arial" w:hAnsi="Arial" w:cs="Arial"/>
          <w:sz w:val="24"/>
        </w:rPr>
        <w:t xml:space="preserve"> </w:t>
      </w:r>
      <w:r w:rsidR="00DB3FEA" w:rsidRPr="009D6989">
        <w:rPr>
          <w:rFonts w:ascii="Arial" w:hAnsi="Arial" w:cs="Arial"/>
          <w:sz w:val="24"/>
        </w:rPr>
        <w:t xml:space="preserve">to </w:t>
      </w:r>
      <w:r w:rsidR="00FD522B" w:rsidRPr="0068167F">
        <w:rPr>
          <w:rFonts w:ascii="Arial" w:hAnsi="Arial" w:cs="Arial"/>
          <w:i/>
          <w:iCs/>
          <w:sz w:val="24"/>
          <w:highlight w:val="yellow"/>
        </w:rPr>
        <w:t>31,125</w:t>
      </w:r>
      <w:r w:rsidR="00FD522B" w:rsidRPr="009D6989">
        <w:rPr>
          <w:rFonts w:ascii="Arial" w:hAnsi="Arial" w:cs="Arial"/>
          <w:sz w:val="24"/>
        </w:rPr>
        <w:t xml:space="preserve"> </w:t>
      </w:r>
      <w:r w:rsidR="00DB3FEA" w:rsidRPr="009D6989">
        <w:rPr>
          <w:rFonts w:ascii="Arial" w:hAnsi="Arial" w:cs="Arial"/>
          <w:sz w:val="24"/>
        </w:rPr>
        <w:t xml:space="preserve">in </w:t>
      </w:r>
      <w:r w:rsidR="00FD522B" w:rsidRPr="0068167F">
        <w:rPr>
          <w:rFonts w:ascii="Arial" w:hAnsi="Arial" w:cs="Arial"/>
          <w:i/>
          <w:iCs/>
          <w:sz w:val="24"/>
          <w:highlight w:val="yellow"/>
        </w:rPr>
        <w:t>2024</w:t>
      </w:r>
      <w:r w:rsidRPr="009D6989">
        <w:rPr>
          <w:rFonts w:ascii="Arial" w:hAnsi="Arial" w:cs="Arial"/>
          <w:sz w:val="24"/>
        </w:rPr>
        <w:t>.</w:t>
      </w:r>
    </w:p>
    <w:p w14:paraId="549C9C23" w14:textId="77777777" w:rsidR="001B476B" w:rsidRPr="009D6989" w:rsidRDefault="001B476B">
      <w:pPr>
        <w:pStyle w:val="BodyTextIndent"/>
        <w:ind w:firstLine="0"/>
        <w:rPr>
          <w:rFonts w:ascii="Arial" w:hAnsi="Arial" w:cs="Arial"/>
          <w:sz w:val="24"/>
        </w:rPr>
      </w:pPr>
    </w:p>
    <w:p w14:paraId="171ECD53" w14:textId="77777777" w:rsidR="007209D4" w:rsidRPr="009D6989" w:rsidRDefault="007209D4" w:rsidP="007209D4">
      <w:pPr>
        <w:pStyle w:val="BodyTextIndent"/>
        <w:ind w:firstLine="0"/>
        <w:rPr>
          <w:rFonts w:ascii="Arial" w:hAnsi="Arial" w:cs="Arial"/>
          <w:sz w:val="24"/>
        </w:rPr>
      </w:pPr>
      <w:r w:rsidRPr="009D6989">
        <w:rPr>
          <w:rFonts w:ascii="Arial" w:hAnsi="Arial" w:cs="Arial"/>
          <w:sz w:val="24"/>
        </w:rPr>
        <w:t xml:space="preserve">In </w:t>
      </w:r>
      <w:r w:rsidRPr="0068167F">
        <w:rPr>
          <w:rFonts w:ascii="Arial" w:hAnsi="Arial" w:cs="Arial"/>
          <w:i/>
          <w:iCs/>
          <w:sz w:val="24"/>
          <w:highlight w:val="yellow"/>
        </w:rPr>
        <w:t>2024</w:t>
      </w:r>
      <w:r w:rsidRPr="009D6989">
        <w:rPr>
          <w:rFonts w:ascii="Arial" w:hAnsi="Arial" w:cs="Arial"/>
          <w:sz w:val="24"/>
        </w:rPr>
        <w:t xml:space="preserve">, SC public school students took exams in </w:t>
      </w:r>
      <w:r w:rsidRPr="0068167F">
        <w:rPr>
          <w:rFonts w:ascii="Arial" w:hAnsi="Arial" w:cs="Arial"/>
          <w:i/>
          <w:iCs/>
          <w:sz w:val="24"/>
          <w:highlight w:val="yellow"/>
        </w:rPr>
        <w:t>39</w:t>
      </w:r>
      <w:r w:rsidRPr="009D6989">
        <w:rPr>
          <w:rFonts w:ascii="Arial" w:hAnsi="Arial" w:cs="Arial"/>
          <w:sz w:val="24"/>
        </w:rPr>
        <w:t xml:space="preserve"> AP exam areas (students could take more than one test). The six most-taken AP exams were, in order, Human Geography, United States History, English Language and Composition, Psychology, English Literature and Composition, and World History: Modern. </w:t>
      </w:r>
    </w:p>
    <w:p w14:paraId="13B79E21" w14:textId="77777777" w:rsidR="007209D4" w:rsidRPr="009D6989" w:rsidRDefault="009D6989" w:rsidP="007209D4">
      <w:pPr>
        <w:pStyle w:val="BodyTextIndent"/>
        <w:ind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063A1B94" w14:textId="77777777" w:rsidR="007209D4" w:rsidRPr="009D6989" w:rsidRDefault="007209D4" w:rsidP="007209D4">
      <w:pPr>
        <w:pStyle w:val="BodyTextIndent"/>
        <w:ind w:firstLine="0"/>
        <w:rPr>
          <w:rFonts w:ascii="Arial" w:hAnsi="Arial" w:cs="Arial"/>
          <w:sz w:val="24"/>
        </w:rPr>
      </w:pPr>
      <w:r w:rsidRPr="009D6989">
        <w:rPr>
          <w:rFonts w:ascii="Arial" w:hAnsi="Arial" w:cs="Arial"/>
          <w:sz w:val="24"/>
        </w:rPr>
        <w:lastRenderedPageBreak/>
        <w:t xml:space="preserve">The following table provides information in alphabetical order on the AP exams that were taken by South Carolina public school students in </w:t>
      </w:r>
      <w:r w:rsidRPr="0068167F">
        <w:rPr>
          <w:rFonts w:ascii="Arial" w:hAnsi="Arial" w:cs="Arial"/>
          <w:i/>
          <w:iCs/>
          <w:sz w:val="24"/>
          <w:highlight w:val="yellow"/>
        </w:rPr>
        <w:t>2024</w:t>
      </w:r>
      <w:r w:rsidRPr="009D6989">
        <w:rPr>
          <w:rFonts w:ascii="Arial" w:hAnsi="Arial" w:cs="Arial"/>
          <w:sz w:val="24"/>
        </w:rPr>
        <w:t>, the numbers of 3 to 5 scores, and the percentages of 3 to 5 scores. The SC Department of Education does not display performance data (--) for subgroups with fewer than five scores.</w:t>
      </w:r>
    </w:p>
    <w:p w14:paraId="7E40AA18" w14:textId="77777777" w:rsidR="007209D4" w:rsidRDefault="007209D4">
      <w:pPr>
        <w:pStyle w:val="BodyTextIndent"/>
        <w:ind w:firstLine="0"/>
        <w:rPr>
          <w:rFonts w:ascii="Arial" w:hAnsi="Arial"/>
          <w:sz w:val="24"/>
        </w:rPr>
      </w:pPr>
    </w:p>
    <w:p w14:paraId="11CA56CE" w14:textId="44D4A22D" w:rsidR="00FE6BA8" w:rsidRDefault="00913E59">
      <w:pPr>
        <w:pStyle w:val="BodyTextIndent"/>
        <w:ind w:firstLine="0"/>
        <w:rPr>
          <w:rFonts w:ascii="Arial" w:hAnsi="Arial"/>
          <w:sz w:val="24"/>
        </w:rPr>
      </w:pPr>
      <w:r w:rsidRPr="00E70E38">
        <w:rPr>
          <w:noProof/>
        </w:rPr>
        <w:drawing>
          <wp:inline distT="0" distB="0" distL="0" distR="0" wp14:anchorId="04F8C1EE" wp14:editId="1AE792C7">
            <wp:extent cx="5922645" cy="2858770"/>
            <wp:effectExtent l="0" t="0" r="1905" b="17780"/>
            <wp:docPr id="1" name="Chart 1" descr="Chart with the past 3 years of data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A70C886" w14:textId="77777777" w:rsidR="007209D4" w:rsidRDefault="007209D4">
      <w:pPr>
        <w:pStyle w:val="BodyTextIndent"/>
        <w:ind w:firstLine="0"/>
        <w:rPr>
          <w:rFonts w:ascii="Arial" w:hAnsi="Arial"/>
          <w:sz w:val="24"/>
        </w:rPr>
      </w:pPr>
    </w:p>
    <w:p w14:paraId="73C96C2E" w14:textId="77777777" w:rsidR="007209D4" w:rsidRDefault="007209D4">
      <w:pPr>
        <w:pStyle w:val="BodyTextIndent"/>
        <w:ind w:firstLine="0"/>
        <w:rPr>
          <w:rFonts w:ascii="Arial" w:hAnsi="Arial"/>
          <w:sz w:val="24"/>
        </w:rPr>
      </w:pPr>
    </w:p>
    <w:p w14:paraId="1148270F" w14:textId="77777777" w:rsidR="007209D4" w:rsidRDefault="007209D4">
      <w:pPr>
        <w:pStyle w:val="BodyTextIndent"/>
        <w:ind w:firstLine="0"/>
        <w:rPr>
          <w:rFonts w:ascii="Arial" w:hAnsi="Arial"/>
          <w:sz w:val="24"/>
        </w:rPr>
      </w:pPr>
    </w:p>
    <w:p w14:paraId="180F3827" w14:textId="77777777" w:rsidR="007209D4" w:rsidRDefault="007209D4">
      <w:pPr>
        <w:pStyle w:val="BodyTextIndent"/>
        <w:ind w:firstLine="0"/>
        <w:rPr>
          <w:rFonts w:ascii="Arial" w:hAnsi="Arial"/>
          <w:sz w:val="24"/>
        </w:rPr>
      </w:pPr>
    </w:p>
    <w:p w14:paraId="1AE9F182" w14:textId="77777777" w:rsidR="007209D4" w:rsidRDefault="007209D4">
      <w:pPr>
        <w:pStyle w:val="BodyTextIndent"/>
        <w:ind w:firstLine="0"/>
        <w:rPr>
          <w:rFonts w:ascii="Arial" w:hAnsi="Arial"/>
          <w:sz w:val="24"/>
        </w:rPr>
      </w:pPr>
    </w:p>
    <w:p w14:paraId="1BE2CAB1" w14:textId="77777777" w:rsidR="007209D4" w:rsidRDefault="007209D4">
      <w:pPr>
        <w:pStyle w:val="BodyTextIndent"/>
        <w:ind w:firstLine="0"/>
        <w:rPr>
          <w:rFonts w:ascii="Arial" w:hAnsi="Arial"/>
          <w:sz w:val="24"/>
        </w:rPr>
      </w:pPr>
    </w:p>
    <w:p w14:paraId="6686A032" w14:textId="77777777" w:rsidR="007209D4" w:rsidRDefault="007209D4">
      <w:pPr>
        <w:pStyle w:val="BodyTextIndent"/>
        <w:ind w:firstLine="0"/>
        <w:rPr>
          <w:rFonts w:ascii="Arial" w:hAnsi="Arial"/>
          <w:sz w:val="24"/>
        </w:rPr>
      </w:pPr>
    </w:p>
    <w:p w14:paraId="55BC8B55" w14:textId="77777777" w:rsidR="007209D4" w:rsidRDefault="007209D4">
      <w:pPr>
        <w:pStyle w:val="BodyTextIndent"/>
        <w:ind w:firstLine="0"/>
        <w:rPr>
          <w:rFonts w:ascii="Arial" w:hAnsi="Arial"/>
          <w:sz w:val="24"/>
        </w:rPr>
      </w:pPr>
    </w:p>
    <w:p w14:paraId="3D3A2EAB" w14:textId="77777777" w:rsidR="007209D4" w:rsidRDefault="007209D4">
      <w:pPr>
        <w:pStyle w:val="BodyTextIndent"/>
        <w:ind w:firstLine="0"/>
        <w:rPr>
          <w:rFonts w:ascii="Arial" w:hAnsi="Arial"/>
          <w:sz w:val="24"/>
        </w:rPr>
      </w:pPr>
    </w:p>
    <w:p w14:paraId="7C1D3A72" w14:textId="77777777" w:rsidR="007209D4" w:rsidRDefault="007209D4">
      <w:pPr>
        <w:pStyle w:val="BodyTextIndent"/>
        <w:ind w:firstLine="0"/>
        <w:rPr>
          <w:rFonts w:ascii="Arial" w:hAnsi="Arial"/>
          <w:sz w:val="24"/>
        </w:rPr>
      </w:pPr>
    </w:p>
    <w:p w14:paraId="08582FF0" w14:textId="77777777" w:rsidR="007209D4" w:rsidRDefault="007209D4">
      <w:pPr>
        <w:pStyle w:val="BodyTextIndent"/>
        <w:ind w:firstLine="0"/>
        <w:rPr>
          <w:rFonts w:ascii="Arial" w:hAnsi="Arial"/>
          <w:sz w:val="24"/>
        </w:rPr>
      </w:pPr>
    </w:p>
    <w:p w14:paraId="3A33BBDE" w14:textId="77777777" w:rsidR="007209D4" w:rsidRDefault="007209D4">
      <w:pPr>
        <w:pStyle w:val="BodyTextIndent"/>
        <w:ind w:firstLine="0"/>
        <w:rPr>
          <w:rFonts w:ascii="Arial" w:hAnsi="Arial"/>
          <w:sz w:val="24"/>
        </w:rPr>
      </w:pPr>
    </w:p>
    <w:p w14:paraId="6DBAF788" w14:textId="77777777" w:rsidR="007209D4" w:rsidRDefault="007209D4">
      <w:pPr>
        <w:pStyle w:val="BodyTextIndent"/>
        <w:ind w:firstLine="0"/>
        <w:rPr>
          <w:rFonts w:ascii="Arial" w:hAnsi="Arial"/>
          <w:sz w:val="24"/>
        </w:rPr>
      </w:pPr>
    </w:p>
    <w:p w14:paraId="38B70BFA" w14:textId="77777777" w:rsidR="00FA6B14" w:rsidRDefault="00FA6B14">
      <w:pPr>
        <w:pStyle w:val="BodyTextIndent"/>
        <w:ind w:firstLine="0"/>
        <w:rPr>
          <w:rFonts w:ascii="Arial" w:hAnsi="Arial"/>
          <w:sz w:val="24"/>
        </w:rPr>
      </w:pPr>
    </w:p>
    <w:p w14:paraId="61533B21" w14:textId="77777777" w:rsidR="001B476B" w:rsidRDefault="001B476B">
      <w:pPr>
        <w:pStyle w:val="BodyTextIndent"/>
        <w:ind w:firstLine="0"/>
        <w:rPr>
          <w:rFonts w:ascii="Arial" w:hAnsi="Arial"/>
          <w:sz w:val="24"/>
        </w:rPr>
      </w:pPr>
    </w:p>
    <w:p w14:paraId="51103B80" w14:textId="77777777" w:rsidR="00A24F89" w:rsidRDefault="00A24F89">
      <w:pPr>
        <w:pStyle w:val="BodyTextIndent"/>
        <w:ind w:firstLine="0"/>
        <w:rPr>
          <w:rFonts w:ascii="Arial" w:hAnsi="Arial"/>
          <w:sz w:val="24"/>
        </w:rPr>
      </w:pPr>
    </w:p>
    <w:p w14:paraId="76C78785" w14:textId="77777777" w:rsidR="00052EA9" w:rsidRDefault="00052EA9">
      <w:pPr>
        <w:pStyle w:val="BodyTextIndent"/>
        <w:ind w:firstLine="0"/>
        <w:rPr>
          <w:rFonts w:ascii="Arial" w:hAnsi="Arial"/>
          <w:sz w:val="24"/>
        </w:rPr>
      </w:pPr>
    </w:p>
    <w:p w14:paraId="5FA6FA57" w14:textId="77777777" w:rsidR="00052EA9" w:rsidRDefault="00052EA9">
      <w:pPr>
        <w:pStyle w:val="BodyTextIndent"/>
        <w:ind w:firstLine="0"/>
        <w:rPr>
          <w:rFonts w:ascii="Arial" w:hAnsi="Arial"/>
          <w:sz w:val="24"/>
        </w:rPr>
      </w:pPr>
    </w:p>
    <w:p w14:paraId="23DED3B8" w14:textId="77777777" w:rsidR="00052EA9" w:rsidRDefault="00052EA9">
      <w:pPr>
        <w:pStyle w:val="BodyTextIndent"/>
        <w:ind w:firstLine="0"/>
        <w:rPr>
          <w:rFonts w:ascii="Arial" w:hAnsi="Arial"/>
          <w:sz w:val="24"/>
        </w:rPr>
      </w:pPr>
    </w:p>
    <w:p w14:paraId="366CF3D7" w14:textId="77777777" w:rsidR="00052EA9" w:rsidRDefault="00052EA9">
      <w:pPr>
        <w:pStyle w:val="BodyTextIndent"/>
        <w:ind w:firstLine="0"/>
        <w:rPr>
          <w:rFonts w:ascii="Arial" w:hAnsi="Arial"/>
          <w:sz w:val="24"/>
        </w:rPr>
      </w:pPr>
    </w:p>
    <w:p w14:paraId="0CD34937" w14:textId="77777777" w:rsidR="00052EA9" w:rsidRDefault="00052EA9">
      <w:pPr>
        <w:pStyle w:val="BodyTextIndent"/>
        <w:ind w:firstLine="0"/>
        <w:rPr>
          <w:rFonts w:ascii="Arial" w:hAnsi="Arial"/>
          <w:sz w:val="24"/>
        </w:rPr>
      </w:pPr>
    </w:p>
    <w:p w14:paraId="20AC68BF" w14:textId="77777777" w:rsidR="00052EA9" w:rsidRDefault="00052EA9">
      <w:pPr>
        <w:pStyle w:val="BodyTextIndent"/>
        <w:ind w:firstLine="0"/>
        <w:rPr>
          <w:rFonts w:ascii="Arial" w:hAnsi="Arial"/>
          <w:sz w:val="24"/>
        </w:rPr>
      </w:pPr>
    </w:p>
    <w:p w14:paraId="113B2FD8" w14:textId="77777777" w:rsidR="00052EA9" w:rsidRDefault="00052EA9">
      <w:pPr>
        <w:pStyle w:val="BodyTextIndent"/>
        <w:ind w:firstLine="0"/>
        <w:rPr>
          <w:rFonts w:ascii="Arial" w:hAnsi="Arial"/>
          <w:sz w:val="24"/>
        </w:rPr>
      </w:pPr>
    </w:p>
    <w:p w14:paraId="26A73DBF" w14:textId="77777777" w:rsidR="005042EA" w:rsidRPr="005042EA" w:rsidRDefault="005042EA" w:rsidP="005042EA">
      <w:pPr>
        <w:rPr>
          <w:rFonts w:ascii="Arial" w:hAnsi="Arial" w:cs="Arial"/>
          <w:sz w:val="18"/>
          <w:szCs w:val="18"/>
        </w:rPr>
      </w:pPr>
      <w:r w:rsidRPr="005042EA">
        <w:rPr>
          <w:rFonts w:ascii="Arial" w:hAnsi="Arial"/>
          <w:sz w:val="18"/>
          <w:szCs w:val="18"/>
        </w:rPr>
        <w:t>* AP</w:t>
      </w:r>
      <w:r w:rsidR="00B63409" w:rsidRPr="00B63409">
        <w:rPr>
          <w:rFonts w:ascii="Arial" w:hAnsi="Arial"/>
          <w:sz w:val="18"/>
          <w:szCs w:val="18"/>
          <w:vertAlign w:val="superscript"/>
        </w:rPr>
        <w:t>®</w:t>
      </w:r>
      <w:r w:rsidRPr="005042EA">
        <w:rPr>
          <w:rFonts w:ascii="Arial" w:hAnsi="Arial"/>
          <w:sz w:val="18"/>
          <w:szCs w:val="18"/>
        </w:rPr>
        <w:t xml:space="preserve"> and Advanced Placement</w:t>
      </w:r>
      <w:r w:rsidR="00B63409" w:rsidRPr="00B63409">
        <w:rPr>
          <w:rFonts w:ascii="Arial" w:hAnsi="Arial"/>
          <w:sz w:val="18"/>
          <w:szCs w:val="18"/>
          <w:vertAlign w:val="superscript"/>
        </w:rPr>
        <w:t>®</w:t>
      </w:r>
      <w:r w:rsidRPr="005042EA">
        <w:rPr>
          <w:rFonts w:ascii="Arial" w:hAnsi="Arial"/>
          <w:sz w:val="18"/>
          <w:szCs w:val="18"/>
        </w:rPr>
        <w:t xml:space="preserve"> </w:t>
      </w:r>
      <w:r w:rsidRPr="005042EA">
        <w:rPr>
          <w:rFonts w:ascii="Arial" w:hAnsi="Arial" w:cs="Arial"/>
          <w:sz w:val="18"/>
          <w:szCs w:val="18"/>
        </w:rPr>
        <w:t xml:space="preserve">are registered trademarks of </w:t>
      </w:r>
      <w:r w:rsidR="006601D3">
        <w:rPr>
          <w:rFonts w:ascii="Arial" w:hAnsi="Arial" w:cs="Arial"/>
          <w:sz w:val="18"/>
          <w:szCs w:val="18"/>
        </w:rPr>
        <w:t>T</w:t>
      </w:r>
      <w:r w:rsidRPr="005042EA">
        <w:rPr>
          <w:rFonts w:ascii="Arial" w:hAnsi="Arial" w:cs="Arial"/>
          <w:sz w:val="18"/>
          <w:szCs w:val="18"/>
        </w:rPr>
        <w:t xml:space="preserve">he College Board, which was not involved in the production of, and does not endorse, this publication. </w:t>
      </w:r>
    </w:p>
    <w:p w14:paraId="78F89EC7" w14:textId="77777777" w:rsidR="009D6989" w:rsidRDefault="00215DAA" w:rsidP="00215DAA">
      <w:pPr>
        <w:pStyle w:val="BodyTextIndent"/>
        <w:ind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Data used to compile this report were provided by </w:t>
      </w:r>
      <w:r w:rsidR="004C7140" w:rsidRPr="00E54608">
        <w:rPr>
          <w:rFonts w:ascii="Arial" w:hAnsi="Arial"/>
          <w:sz w:val="18"/>
        </w:rPr>
        <w:t>T</w:t>
      </w:r>
      <w:r w:rsidRPr="00E54608">
        <w:rPr>
          <w:rFonts w:ascii="Arial" w:hAnsi="Arial"/>
          <w:sz w:val="18"/>
        </w:rPr>
        <w:t>he</w:t>
      </w:r>
      <w:r>
        <w:rPr>
          <w:rFonts w:ascii="Arial" w:hAnsi="Arial"/>
          <w:sz w:val="18"/>
        </w:rPr>
        <w:t xml:space="preserve"> College Board in </w:t>
      </w:r>
      <w:r w:rsidR="004B3AE4">
        <w:rPr>
          <w:rFonts w:ascii="Arial" w:hAnsi="Arial"/>
          <w:sz w:val="18"/>
        </w:rPr>
        <w:t>September</w:t>
      </w:r>
      <w:r>
        <w:rPr>
          <w:rFonts w:ascii="Arial" w:hAnsi="Arial"/>
          <w:sz w:val="18"/>
        </w:rPr>
        <w:t xml:space="preserve"> </w:t>
      </w:r>
      <w:r w:rsidR="001E3609" w:rsidRPr="0068167F">
        <w:rPr>
          <w:rFonts w:ascii="Arial" w:hAnsi="Arial"/>
          <w:i/>
          <w:iCs/>
          <w:sz w:val="18"/>
          <w:highlight w:val="yellow"/>
        </w:rPr>
        <w:t>20</w:t>
      </w:r>
      <w:r w:rsidR="00DB3FEA" w:rsidRPr="0068167F">
        <w:rPr>
          <w:rFonts w:ascii="Arial" w:hAnsi="Arial"/>
          <w:i/>
          <w:iCs/>
          <w:sz w:val="18"/>
          <w:highlight w:val="yellow"/>
        </w:rPr>
        <w:t>2</w:t>
      </w:r>
      <w:r w:rsidR="00FD522B" w:rsidRPr="0068167F">
        <w:rPr>
          <w:rFonts w:ascii="Arial" w:hAnsi="Arial"/>
          <w:i/>
          <w:iCs/>
          <w:sz w:val="18"/>
          <w:highlight w:val="yellow"/>
        </w:rPr>
        <w:t>4</w:t>
      </w:r>
      <w:r>
        <w:rPr>
          <w:rFonts w:ascii="Arial" w:hAnsi="Arial"/>
          <w:sz w:val="18"/>
        </w:rPr>
        <w:t xml:space="preserve">. This report does not reflect any changes the College Board may have made after </w:t>
      </w:r>
      <w:r w:rsidR="004B3AE4">
        <w:rPr>
          <w:rFonts w:ascii="Arial" w:hAnsi="Arial"/>
          <w:sz w:val="18"/>
        </w:rPr>
        <w:t xml:space="preserve">September </w:t>
      </w:r>
      <w:r w:rsidR="001E3609" w:rsidRPr="0068167F">
        <w:rPr>
          <w:rFonts w:ascii="Arial" w:hAnsi="Arial"/>
          <w:i/>
          <w:iCs/>
          <w:sz w:val="18"/>
          <w:highlight w:val="yellow"/>
        </w:rPr>
        <w:t>20</w:t>
      </w:r>
      <w:r w:rsidR="00007F8E" w:rsidRPr="0068167F">
        <w:rPr>
          <w:rFonts w:ascii="Arial" w:hAnsi="Arial"/>
          <w:i/>
          <w:iCs/>
          <w:sz w:val="18"/>
          <w:highlight w:val="yellow"/>
        </w:rPr>
        <w:t>2</w:t>
      </w:r>
      <w:r w:rsidR="00FD522B" w:rsidRPr="0068167F">
        <w:rPr>
          <w:rFonts w:ascii="Arial" w:hAnsi="Arial"/>
          <w:i/>
          <w:iCs/>
          <w:sz w:val="18"/>
          <w:highlight w:val="yellow"/>
        </w:rPr>
        <w:t>4</w:t>
      </w:r>
      <w:r>
        <w:rPr>
          <w:rFonts w:ascii="Arial" w:hAnsi="Arial"/>
          <w:sz w:val="18"/>
        </w:rPr>
        <w:t>.</w:t>
      </w:r>
    </w:p>
    <w:p w14:paraId="74F022B0" w14:textId="77777777" w:rsidR="00215DAA" w:rsidRDefault="009D6989" w:rsidP="00215DAA">
      <w:pPr>
        <w:pStyle w:val="BodyTextIndent"/>
        <w:ind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br w:type="page"/>
      </w:r>
    </w:p>
    <w:p w14:paraId="3B6FB771" w14:textId="77777777" w:rsidR="00FA6B14" w:rsidRDefault="00FA6B14" w:rsidP="00215DAA">
      <w:pPr>
        <w:pStyle w:val="BodyTextIndent"/>
        <w:ind w:firstLine="0"/>
        <w:rPr>
          <w:rFonts w:ascii="Arial" w:hAnsi="Arial"/>
          <w:sz w:val="18"/>
        </w:rPr>
      </w:pPr>
    </w:p>
    <w:tbl>
      <w:tblPr>
        <w:tblW w:w="7694" w:type="dxa"/>
        <w:jc w:val="center"/>
        <w:tblLook w:val="04A0" w:firstRow="1" w:lastRow="0" w:firstColumn="1" w:lastColumn="0" w:noHBand="0" w:noVBand="1"/>
      </w:tblPr>
      <w:tblGrid>
        <w:gridCol w:w="3873"/>
        <w:gridCol w:w="1161"/>
        <w:gridCol w:w="1317"/>
        <w:gridCol w:w="1343"/>
      </w:tblGrid>
      <w:tr w:rsidR="007209D4" w:rsidRPr="007209D4" w14:paraId="0FF242F3" w14:textId="77777777" w:rsidTr="007209D4">
        <w:trPr>
          <w:trHeight w:val="729"/>
          <w:jc w:val="center"/>
        </w:trPr>
        <w:tc>
          <w:tcPr>
            <w:tcW w:w="7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DD4D7B" w14:textId="77777777" w:rsidR="007209D4" w:rsidRPr="007209D4" w:rsidRDefault="0072107D" w:rsidP="007209D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br w:type="page"/>
            </w:r>
            <w:r w:rsidR="007209D4" w:rsidRPr="007209D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Advanced Placement Examinations</w:t>
            </w:r>
            <w:r w:rsidR="007209D4" w:rsidRPr="007209D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br/>
              <w:t>South Carolina Public Schools, 2024</w:t>
            </w:r>
          </w:p>
        </w:tc>
      </w:tr>
      <w:tr w:rsidR="007209D4" w:rsidRPr="007209D4" w14:paraId="659DC901" w14:textId="77777777" w:rsidTr="00A24F89">
        <w:trPr>
          <w:trHeight w:val="692"/>
          <w:jc w:val="center"/>
        </w:trPr>
        <w:tc>
          <w:tcPr>
            <w:tcW w:w="7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FF20E5" w14:textId="77777777" w:rsidR="007209D4" w:rsidRPr="007209D4" w:rsidRDefault="007209D4" w:rsidP="007209D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09D4">
              <w:rPr>
                <w:rFonts w:ascii="Arial" w:hAnsi="Arial" w:cs="Arial"/>
                <w:color w:val="000000"/>
                <w:sz w:val="22"/>
                <w:szCs w:val="22"/>
              </w:rPr>
              <w:t>(--) No performance data are provided by the SC Department of Education</w:t>
            </w:r>
            <w:r w:rsidRPr="007209D4">
              <w:rPr>
                <w:rFonts w:ascii="Arial" w:hAnsi="Arial" w:cs="Arial"/>
                <w:color w:val="000000"/>
                <w:sz w:val="22"/>
                <w:szCs w:val="22"/>
              </w:rPr>
              <w:br/>
              <w:t>for subgroups smaller than five in the scores category.</w:t>
            </w:r>
          </w:p>
        </w:tc>
      </w:tr>
      <w:tr w:rsidR="007209D4" w:rsidRPr="007209D4" w14:paraId="12BE90DF" w14:textId="77777777" w:rsidTr="007209D4">
        <w:trPr>
          <w:trHeight w:val="870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2711" w14:textId="77777777" w:rsidR="007209D4" w:rsidRPr="007209D4" w:rsidRDefault="007209D4" w:rsidP="007209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209D4">
              <w:rPr>
                <w:rFonts w:ascii="Arial" w:hAnsi="Arial" w:cs="Arial"/>
                <w:b/>
                <w:bCs/>
                <w:color w:val="000000"/>
              </w:rPr>
              <w:t>Exam/Subject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B31C" w14:textId="77777777" w:rsidR="007209D4" w:rsidRPr="007209D4" w:rsidRDefault="007209D4" w:rsidP="007209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209D4">
              <w:rPr>
                <w:rFonts w:ascii="Arial" w:hAnsi="Arial" w:cs="Arial"/>
                <w:b/>
                <w:bCs/>
                <w:color w:val="000000"/>
              </w:rPr>
              <w:t>Number of Exams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FD6E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209D4">
              <w:rPr>
                <w:rFonts w:ascii="Arial" w:hAnsi="Arial" w:cs="Arial"/>
                <w:b/>
                <w:bCs/>
                <w:color w:val="000000"/>
              </w:rPr>
              <w:t xml:space="preserve">Number of 3 to 5 </w:t>
            </w:r>
            <w:proofErr w:type="gramStart"/>
            <w:r w:rsidRPr="007209D4">
              <w:rPr>
                <w:rFonts w:ascii="Arial" w:hAnsi="Arial" w:cs="Arial"/>
                <w:b/>
                <w:bCs/>
                <w:color w:val="000000"/>
              </w:rPr>
              <w:t>Scores</w:t>
            </w:r>
            <w:proofErr w:type="gram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5103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209D4">
              <w:rPr>
                <w:rFonts w:ascii="Arial" w:hAnsi="Arial" w:cs="Arial"/>
                <w:b/>
                <w:bCs/>
                <w:color w:val="000000"/>
              </w:rPr>
              <w:t xml:space="preserve">Percentage of 3 to 5 </w:t>
            </w:r>
            <w:proofErr w:type="gramStart"/>
            <w:r w:rsidRPr="007209D4">
              <w:rPr>
                <w:rFonts w:ascii="Arial" w:hAnsi="Arial" w:cs="Arial"/>
                <w:b/>
                <w:bCs/>
                <w:color w:val="000000"/>
              </w:rPr>
              <w:t>Scores</w:t>
            </w:r>
            <w:proofErr w:type="gramEnd"/>
          </w:p>
        </w:tc>
      </w:tr>
      <w:tr w:rsidR="007209D4" w:rsidRPr="007209D4" w14:paraId="1B55A59D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33C87801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bookmarkStart w:id="0" w:name="RANGE!A4:D42"/>
            <w:r w:rsidRPr="007209D4">
              <w:rPr>
                <w:rFonts w:ascii="Arial" w:hAnsi="Arial" w:cs="Arial"/>
                <w:color w:val="000000"/>
              </w:rPr>
              <w:t>2-D Art and Design</w:t>
            </w:r>
            <w:bookmarkEnd w:id="0"/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CB092A9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449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0CF71E23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F4BD5CA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89.1%</w:t>
            </w:r>
          </w:p>
        </w:tc>
      </w:tr>
      <w:tr w:rsidR="007209D4" w:rsidRPr="007209D4" w14:paraId="42019ED4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3BFF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3-D Art and Design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D75D0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D6DAD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59C4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72.5%</w:t>
            </w:r>
          </w:p>
        </w:tc>
      </w:tr>
      <w:tr w:rsidR="007209D4" w:rsidRPr="007209D4" w14:paraId="4D11143B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5336F0B3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AP Capstone Research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DBCDA04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818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5104C73C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749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3F5C2555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91.6%</w:t>
            </w:r>
          </w:p>
        </w:tc>
      </w:tr>
      <w:tr w:rsidR="007209D4" w:rsidRPr="007209D4" w14:paraId="6990DFB9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F9EC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AP Capstone Seminar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8816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1368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740E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1290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228A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94.3%</w:t>
            </w:r>
          </w:p>
        </w:tc>
      </w:tr>
      <w:tr w:rsidR="007209D4" w:rsidRPr="007209D4" w14:paraId="40F89739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5E3A301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African American Studies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38F165A9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1FD5C775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67519CC8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85.7%</w:t>
            </w:r>
          </w:p>
        </w:tc>
      </w:tr>
      <w:tr w:rsidR="007209D4" w:rsidRPr="007209D4" w14:paraId="0D7293B5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3522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Art History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2182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317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4EFF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188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4D27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59.3%</w:t>
            </w:r>
          </w:p>
        </w:tc>
      </w:tr>
      <w:tr w:rsidR="007209D4" w:rsidRPr="007209D4" w14:paraId="2BC749BC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F99459D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Biology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3610A773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2028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37F4B3BB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1597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419FD551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78.8%</w:t>
            </w:r>
          </w:p>
        </w:tc>
      </w:tr>
      <w:tr w:rsidR="007209D4" w:rsidRPr="007209D4" w14:paraId="26EC8D98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8BD0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Calculus AB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6E3A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2037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5B5F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1414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1D1C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69.4%</w:t>
            </w:r>
          </w:p>
        </w:tc>
      </w:tr>
      <w:tr w:rsidR="007209D4" w:rsidRPr="007209D4" w14:paraId="2F4E3D0C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5C00D290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Calculus BC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69AD00E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1111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1C2C7896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912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11AE19D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82.1%</w:t>
            </w:r>
          </w:p>
        </w:tc>
      </w:tr>
      <w:tr w:rsidR="007209D4" w:rsidRPr="007209D4" w14:paraId="61ABC4D4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B652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Chemistry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5424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1033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8F38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856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1C48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82.9%</w:t>
            </w:r>
          </w:p>
        </w:tc>
      </w:tr>
      <w:tr w:rsidR="007209D4" w:rsidRPr="007209D4" w14:paraId="70F7D72B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15AAEE95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Chinese Language and Culture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598F7D61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0C9D55E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0A0B5CE8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70.0%</w:t>
            </w:r>
          </w:p>
        </w:tc>
      </w:tr>
      <w:tr w:rsidR="007209D4" w:rsidRPr="007209D4" w14:paraId="7FBB699E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70DF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Comparative Government and Politics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1CB6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5C24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ABBE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87.1%</w:t>
            </w:r>
          </w:p>
        </w:tc>
      </w:tr>
      <w:tr w:rsidR="007209D4" w:rsidRPr="007209D4" w14:paraId="2AC7EAE5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53CFCB2F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Computer Science 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65B29C6B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447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1027A69E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268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5C2FA488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60.0%</w:t>
            </w:r>
          </w:p>
        </w:tc>
      </w:tr>
      <w:tr w:rsidR="007209D4" w:rsidRPr="007209D4" w14:paraId="6BC186CE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25D6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Computer Science Principles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769FE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2218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1AA7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1318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494A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59.4%</w:t>
            </w:r>
          </w:p>
        </w:tc>
      </w:tr>
      <w:tr w:rsidR="007209D4" w:rsidRPr="007209D4" w14:paraId="21F1D547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A5D6E77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Drawing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6D63BF24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6A8C848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341843E7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94.1%</w:t>
            </w:r>
          </w:p>
        </w:tc>
      </w:tr>
      <w:tr w:rsidR="007209D4" w:rsidRPr="007209D4" w14:paraId="42AB9377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CEE5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English Language and Composition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19AF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4668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1709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2729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5A2F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58.5%</w:t>
            </w:r>
          </w:p>
        </w:tc>
      </w:tr>
      <w:tr w:rsidR="007209D4" w:rsidRPr="007209D4" w14:paraId="13B67E05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4B4526A1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English Literature and Composition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36E7C5A1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3025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49594D7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2413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97BF6C4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79.8%</w:t>
            </w:r>
          </w:p>
        </w:tc>
      </w:tr>
      <w:tr w:rsidR="007209D4" w:rsidRPr="007209D4" w14:paraId="33609370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3DDD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Environmental Science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1C08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2228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2318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1354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0E6E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60.8%</w:t>
            </w:r>
          </w:p>
        </w:tc>
      </w:tr>
      <w:tr w:rsidR="007209D4" w:rsidRPr="007209D4" w14:paraId="2A708F4C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1B0504BC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European History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A9359FE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1499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1F039DD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1044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7E8D643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69.7%</w:t>
            </w:r>
          </w:p>
        </w:tc>
      </w:tr>
      <w:tr w:rsidR="007209D4" w:rsidRPr="007209D4" w14:paraId="0356052C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30F9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French Language and Culture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9C8C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6367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3744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64.9%</w:t>
            </w:r>
          </w:p>
        </w:tc>
      </w:tr>
      <w:tr w:rsidR="007209D4" w:rsidRPr="007209D4" w14:paraId="458BDC28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161117D1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German Language and Culture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8CB748F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0435E4E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53858D55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62.5%</w:t>
            </w:r>
          </w:p>
        </w:tc>
      </w:tr>
      <w:tr w:rsidR="007209D4" w:rsidRPr="007209D4" w14:paraId="45B5C4D1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C20D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Human Geography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2631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6083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40BDA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3895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932C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64.0%</w:t>
            </w:r>
          </w:p>
        </w:tc>
      </w:tr>
      <w:tr w:rsidR="007209D4" w:rsidRPr="007209D4" w14:paraId="61B2DC53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694C6ADA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Japanese Language and Culture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33AC20BC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6D70A995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16269871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7209D4" w:rsidRPr="007209D4" w14:paraId="40C3ADBD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3B9D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Latin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B940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7D1B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38C5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87.5%</w:t>
            </w:r>
          </w:p>
        </w:tc>
      </w:tr>
      <w:tr w:rsidR="007209D4" w:rsidRPr="007209D4" w14:paraId="2268493A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DED1323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Macroeconomics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B03F9A2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1235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628CA679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867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48DB5C14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70.2%</w:t>
            </w:r>
          </w:p>
        </w:tc>
      </w:tr>
      <w:tr w:rsidR="007209D4" w:rsidRPr="007209D4" w14:paraId="2BF622DB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075F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Microeconomics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7E10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488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E847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295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DC09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60.5%</w:t>
            </w:r>
          </w:p>
        </w:tc>
      </w:tr>
      <w:tr w:rsidR="007209D4" w:rsidRPr="007209D4" w14:paraId="34106340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1CA40061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Music Theory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5AAF5464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172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1345614A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67B20901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57.0%</w:t>
            </w:r>
          </w:p>
        </w:tc>
      </w:tr>
      <w:tr w:rsidR="007209D4" w:rsidRPr="007209D4" w14:paraId="0551D76A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C59B3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Physics 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24DC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D713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411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D4DC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47.2%</w:t>
            </w:r>
          </w:p>
        </w:tc>
      </w:tr>
      <w:tr w:rsidR="007209D4" w:rsidRPr="007209D4" w14:paraId="696DCE8C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FC1A8AB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Physics 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33707393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C0EA4DE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58D7CA04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75.5%</w:t>
            </w:r>
          </w:p>
        </w:tc>
      </w:tr>
      <w:tr w:rsidR="007209D4" w:rsidRPr="007209D4" w14:paraId="30B3F9DC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BB8F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Physics C: Electricity and Magnetism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299B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CBD1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E6B7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72.7%</w:t>
            </w:r>
          </w:p>
        </w:tc>
      </w:tr>
      <w:tr w:rsidR="007209D4" w:rsidRPr="007209D4" w14:paraId="55A0AD0B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03853EAC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Physics C: Mechanics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9C2067B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233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137F66CA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158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19971F83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67.8%</w:t>
            </w:r>
          </w:p>
        </w:tc>
      </w:tr>
      <w:tr w:rsidR="007209D4" w:rsidRPr="007209D4" w14:paraId="6F1C668B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71A4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Precalculus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509C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227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34B5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143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DAE6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63.0%</w:t>
            </w:r>
          </w:p>
        </w:tc>
      </w:tr>
      <w:tr w:rsidR="007209D4" w:rsidRPr="007209D4" w14:paraId="406776BB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F96DD28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Psychology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49AF0858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3752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5ADFF661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2288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5CFBBBFB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61.0%</w:t>
            </w:r>
          </w:p>
        </w:tc>
      </w:tr>
      <w:tr w:rsidR="007209D4" w:rsidRPr="007209D4" w14:paraId="5B2A18B2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C903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Spanish Language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5335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471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C6F0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375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9EE1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79.6%</w:t>
            </w:r>
          </w:p>
        </w:tc>
      </w:tr>
      <w:tr w:rsidR="007209D4" w:rsidRPr="007209D4" w14:paraId="5E74C78E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9024146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Spanish Literature and Culture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668F07BF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18292B31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E6AB37D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55.6%</w:t>
            </w:r>
          </w:p>
        </w:tc>
      </w:tr>
      <w:tr w:rsidR="007209D4" w:rsidRPr="007209D4" w14:paraId="631383B2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88A3F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Statistics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6FCC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1967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C7F0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1290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326E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65.6%</w:t>
            </w:r>
          </w:p>
        </w:tc>
      </w:tr>
      <w:tr w:rsidR="007209D4" w:rsidRPr="007209D4" w14:paraId="75A5D2D0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EB0266B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United States Government and Politics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46BEC025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2317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1EDE2D3A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2004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4C79BF1E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86.5%</w:t>
            </w:r>
          </w:p>
        </w:tc>
      </w:tr>
      <w:tr w:rsidR="007209D4" w:rsidRPr="007209D4" w14:paraId="250726D8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56B7F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United States History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E3BF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5106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CC90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3942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704E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77.2%</w:t>
            </w:r>
          </w:p>
        </w:tc>
      </w:tr>
      <w:tr w:rsidR="007209D4" w:rsidRPr="007209D4" w14:paraId="744C6EE0" w14:textId="77777777" w:rsidTr="007209D4">
        <w:trPr>
          <w:trHeight w:val="255"/>
          <w:jc w:val="center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1E6A0363" w14:textId="77777777" w:rsidR="007209D4" w:rsidRPr="007209D4" w:rsidRDefault="007209D4" w:rsidP="007209D4">
            <w:pPr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World History: Modern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6410BB6A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2634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70F2B22A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1812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14:paraId="29A9DB3D" w14:textId="77777777" w:rsidR="007209D4" w:rsidRPr="007209D4" w:rsidRDefault="007209D4" w:rsidP="007209D4">
            <w:pPr>
              <w:jc w:val="right"/>
              <w:rPr>
                <w:rFonts w:ascii="Arial" w:hAnsi="Arial" w:cs="Arial"/>
                <w:color w:val="000000"/>
              </w:rPr>
            </w:pPr>
            <w:r w:rsidRPr="007209D4">
              <w:rPr>
                <w:rFonts w:ascii="Arial" w:hAnsi="Arial" w:cs="Arial"/>
                <w:color w:val="000000"/>
              </w:rPr>
              <w:t>68.8%</w:t>
            </w:r>
          </w:p>
        </w:tc>
      </w:tr>
    </w:tbl>
    <w:p w14:paraId="33467EA9" w14:textId="77777777" w:rsidR="00FE6BA8" w:rsidRDefault="00FE6BA8" w:rsidP="006601D3">
      <w:pPr>
        <w:jc w:val="both"/>
        <w:rPr>
          <w:rFonts w:ascii="Arial" w:hAnsi="Arial"/>
          <w:sz w:val="24"/>
        </w:rPr>
      </w:pPr>
    </w:p>
    <w:p w14:paraId="3275F9D4" w14:textId="77777777" w:rsidR="0021119A" w:rsidRPr="00FA6B14" w:rsidRDefault="00F20881" w:rsidP="006601D3">
      <w:pPr>
        <w:jc w:val="both"/>
        <w:rPr>
          <w:rFonts w:ascii="Arial" w:hAnsi="Arial" w:cs="Arial"/>
          <w:sz w:val="24"/>
        </w:rPr>
      </w:pPr>
      <w:r w:rsidRPr="00FA6B14">
        <w:rPr>
          <w:rFonts w:ascii="Arial" w:hAnsi="Arial" w:cs="Arial"/>
          <w:sz w:val="24"/>
        </w:rPr>
        <w:t xml:space="preserve">For questions about this report, please contact </w:t>
      </w:r>
      <w:r w:rsidR="00600163" w:rsidRPr="00FA6B14">
        <w:rPr>
          <w:rFonts w:ascii="Arial" w:hAnsi="Arial" w:cs="Arial"/>
          <w:sz w:val="24"/>
        </w:rPr>
        <w:t>Stoyan Gamishev</w:t>
      </w:r>
      <w:r w:rsidRPr="00FA6B14">
        <w:rPr>
          <w:rFonts w:ascii="Arial" w:hAnsi="Arial" w:cs="Arial"/>
          <w:sz w:val="24"/>
        </w:rPr>
        <w:t xml:space="preserve"> at 803-734-</w:t>
      </w:r>
      <w:r w:rsidR="00600163" w:rsidRPr="00FA6B14">
        <w:rPr>
          <w:rFonts w:ascii="Arial" w:hAnsi="Arial" w:cs="Arial"/>
          <w:sz w:val="24"/>
        </w:rPr>
        <w:t>0332</w:t>
      </w:r>
      <w:r w:rsidRPr="00FA6B14">
        <w:rPr>
          <w:rFonts w:ascii="Arial" w:hAnsi="Arial" w:cs="Arial"/>
          <w:sz w:val="24"/>
        </w:rPr>
        <w:t xml:space="preserve"> or </w:t>
      </w:r>
      <w:r w:rsidR="00600163" w:rsidRPr="00FA6B14">
        <w:rPr>
          <w:rFonts w:ascii="Arial" w:hAnsi="Arial" w:cs="Arial"/>
          <w:sz w:val="24"/>
        </w:rPr>
        <w:t>sgamishev</w:t>
      </w:r>
      <w:r w:rsidRPr="00FA6B14">
        <w:rPr>
          <w:rFonts w:ascii="Arial" w:hAnsi="Arial" w:cs="Arial"/>
          <w:sz w:val="24"/>
        </w:rPr>
        <w:t>@ed.sc.gov.</w:t>
      </w:r>
    </w:p>
    <w:sectPr w:rsidR="0021119A" w:rsidRPr="00FA6B14" w:rsidSect="00255F4A">
      <w:footerReference w:type="even" r:id="rId10"/>
      <w:footerReference w:type="default" r:id="rId11"/>
      <w:footnotePr>
        <w:numFmt w:val="upperLetter"/>
        <w:numRestart w:val="eachPage"/>
      </w:footnotePr>
      <w:pgSz w:w="12240" w:h="15840" w:code="1"/>
      <w:pgMar w:top="990" w:right="1440" w:bottom="810" w:left="1440" w:header="576" w:footer="57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FE240" w14:textId="77777777" w:rsidR="004668CC" w:rsidRDefault="004668CC">
      <w:r>
        <w:separator/>
      </w:r>
    </w:p>
  </w:endnote>
  <w:endnote w:type="continuationSeparator" w:id="0">
    <w:p w14:paraId="48DC3F98" w14:textId="77777777" w:rsidR="004668CC" w:rsidRDefault="0046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591AD" w14:textId="77777777" w:rsidR="00600163" w:rsidRDefault="006001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3242D6" w14:textId="77777777" w:rsidR="00600163" w:rsidRDefault="0060016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4A15A" w14:textId="77777777" w:rsidR="00600163" w:rsidRDefault="00FA6B14" w:rsidP="00FA6B14">
    <w:pPr>
      <w:rPr>
        <w:rStyle w:val="PageNumber"/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AP Exams -</w:t>
    </w:r>
    <w:r w:rsidRPr="005C77A7">
      <w:rPr>
        <w:rFonts w:ascii="Arial" w:hAnsi="Arial" w:cs="Arial"/>
        <w:sz w:val="22"/>
        <w:szCs w:val="22"/>
      </w:rPr>
      <w:t xml:space="preserve"> </w:t>
    </w:r>
    <w:r w:rsidRPr="00FD522B">
      <w:rPr>
        <w:rFonts w:ascii="Arial" w:hAnsi="Arial" w:cs="Arial"/>
        <w:sz w:val="22"/>
        <w:szCs w:val="22"/>
        <w:highlight w:val="yellow"/>
      </w:rPr>
      <w:t>9/16/24</w:t>
    </w:r>
    <w:r>
      <w:rPr>
        <w:rFonts w:ascii="Arial" w:hAnsi="Arial" w:cs="Arial"/>
        <w:sz w:val="22"/>
        <w:szCs w:val="22"/>
      </w:rPr>
      <w:t xml:space="preserve"> 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 w:rsidRPr="005C77A7">
      <w:rPr>
        <w:rStyle w:val="PageNumber"/>
        <w:rFonts w:ascii="Arial" w:hAnsi="Arial" w:cs="Arial"/>
        <w:sz w:val="22"/>
        <w:szCs w:val="22"/>
      </w:rPr>
      <w:t xml:space="preserve">Page </w:t>
    </w:r>
    <w:r w:rsidRPr="005C77A7">
      <w:rPr>
        <w:rStyle w:val="PageNumber"/>
        <w:rFonts w:ascii="Arial" w:hAnsi="Arial" w:cs="Arial"/>
        <w:sz w:val="22"/>
        <w:szCs w:val="22"/>
      </w:rPr>
      <w:fldChar w:fldCharType="begin"/>
    </w:r>
    <w:r w:rsidRPr="005C77A7">
      <w:rPr>
        <w:rStyle w:val="PageNumber"/>
        <w:rFonts w:ascii="Arial" w:hAnsi="Arial" w:cs="Arial"/>
        <w:sz w:val="22"/>
        <w:szCs w:val="22"/>
      </w:rPr>
      <w:instrText xml:space="preserve"> PAGE </w:instrText>
    </w:r>
    <w:r w:rsidRPr="005C77A7">
      <w:rPr>
        <w:rStyle w:val="PageNumber"/>
        <w:rFonts w:ascii="Arial" w:hAnsi="Arial" w:cs="Arial"/>
        <w:sz w:val="22"/>
        <w:szCs w:val="22"/>
      </w:rPr>
      <w:fldChar w:fldCharType="separate"/>
    </w:r>
    <w:r>
      <w:rPr>
        <w:rStyle w:val="PageNumber"/>
        <w:rFonts w:ascii="Arial" w:hAnsi="Arial" w:cs="Arial"/>
        <w:sz w:val="22"/>
        <w:szCs w:val="22"/>
      </w:rPr>
      <w:t>1</w:t>
    </w:r>
    <w:r w:rsidRPr="005C77A7">
      <w:rPr>
        <w:rStyle w:val="PageNumber"/>
        <w:rFonts w:ascii="Arial" w:hAnsi="Arial" w:cs="Arial"/>
        <w:sz w:val="22"/>
        <w:szCs w:val="22"/>
      </w:rPr>
      <w:fldChar w:fldCharType="end"/>
    </w:r>
  </w:p>
  <w:p w14:paraId="473EB9D5" w14:textId="77777777" w:rsidR="00A24F89" w:rsidRPr="005C77A7" w:rsidRDefault="00A24F89" w:rsidP="005C77A7">
    <w:pPr>
      <w:pStyle w:val="Footer"/>
      <w:jc w:val="right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3EF9A" w14:textId="77777777" w:rsidR="004668CC" w:rsidRDefault="004668CC">
      <w:r>
        <w:separator/>
      </w:r>
    </w:p>
  </w:footnote>
  <w:footnote w:type="continuationSeparator" w:id="0">
    <w:p w14:paraId="2C74F40E" w14:textId="77777777" w:rsidR="004668CC" w:rsidRDefault="00466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52BE4"/>
    <w:multiLevelType w:val="hybridMultilevel"/>
    <w:tmpl w:val="EE26BA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4693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Fmt w:val="upperLetter"/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AMO_ReportControlsVisible" w:val="Empty"/>
    <w:docVar w:name="_AMO_UniqueIdentifier" w:val="0d7aa195-9ccd-44d6-8160-f4629bc91b5d"/>
  </w:docVars>
  <w:rsids>
    <w:rsidRoot w:val="00763F36"/>
    <w:rsid w:val="00006CF1"/>
    <w:rsid w:val="00007F8E"/>
    <w:rsid w:val="000168C6"/>
    <w:rsid w:val="00021E4F"/>
    <w:rsid w:val="00022624"/>
    <w:rsid w:val="0002568A"/>
    <w:rsid w:val="00025EF4"/>
    <w:rsid w:val="00044179"/>
    <w:rsid w:val="00050974"/>
    <w:rsid w:val="00050D7F"/>
    <w:rsid w:val="00051BD4"/>
    <w:rsid w:val="00052D54"/>
    <w:rsid w:val="00052EA9"/>
    <w:rsid w:val="000632AF"/>
    <w:rsid w:val="00064752"/>
    <w:rsid w:val="00065AA0"/>
    <w:rsid w:val="0006674C"/>
    <w:rsid w:val="00072107"/>
    <w:rsid w:val="00073139"/>
    <w:rsid w:val="0008262B"/>
    <w:rsid w:val="00085277"/>
    <w:rsid w:val="000972F2"/>
    <w:rsid w:val="00097D05"/>
    <w:rsid w:val="000A19A5"/>
    <w:rsid w:val="000A1D96"/>
    <w:rsid w:val="000B1791"/>
    <w:rsid w:val="000B1E96"/>
    <w:rsid w:val="000B222B"/>
    <w:rsid w:val="000C04A2"/>
    <w:rsid w:val="000C1230"/>
    <w:rsid w:val="000D0F38"/>
    <w:rsid w:val="000D4362"/>
    <w:rsid w:val="000E0BC4"/>
    <w:rsid w:val="000F6044"/>
    <w:rsid w:val="00100FA1"/>
    <w:rsid w:val="00101A99"/>
    <w:rsid w:val="00105E01"/>
    <w:rsid w:val="00110FBA"/>
    <w:rsid w:val="00114DAF"/>
    <w:rsid w:val="00134AAD"/>
    <w:rsid w:val="00137452"/>
    <w:rsid w:val="00171266"/>
    <w:rsid w:val="00172039"/>
    <w:rsid w:val="00172BE6"/>
    <w:rsid w:val="0017335F"/>
    <w:rsid w:val="001802F6"/>
    <w:rsid w:val="001813FC"/>
    <w:rsid w:val="0018328F"/>
    <w:rsid w:val="001A4D30"/>
    <w:rsid w:val="001B1DCD"/>
    <w:rsid w:val="001B476B"/>
    <w:rsid w:val="001B4F26"/>
    <w:rsid w:val="001B5B5B"/>
    <w:rsid w:val="001B6CA0"/>
    <w:rsid w:val="001C1B86"/>
    <w:rsid w:val="001D3CFE"/>
    <w:rsid w:val="001D40C1"/>
    <w:rsid w:val="001D4BF6"/>
    <w:rsid w:val="001D4FF6"/>
    <w:rsid w:val="001E3609"/>
    <w:rsid w:val="001E3B48"/>
    <w:rsid w:val="001E746A"/>
    <w:rsid w:val="00203652"/>
    <w:rsid w:val="00206D18"/>
    <w:rsid w:val="0021119A"/>
    <w:rsid w:val="00214B12"/>
    <w:rsid w:val="00215DAA"/>
    <w:rsid w:val="00220131"/>
    <w:rsid w:val="0022357B"/>
    <w:rsid w:val="00224D71"/>
    <w:rsid w:val="00231F93"/>
    <w:rsid w:val="002333D6"/>
    <w:rsid w:val="002347AA"/>
    <w:rsid w:val="00235C11"/>
    <w:rsid w:val="00236CD3"/>
    <w:rsid w:val="00236F25"/>
    <w:rsid w:val="002527F0"/>
    <w:rsid w:val="00255DA4"/>
    <w:rsid w:val="00255F4A"/>
    <w:rsid w:val="002623B9"/>
    <w:rsid w:val="00276BD8"/>
    <w:rsid w:val="00283C1C"/>
    <w:rsid w:val="00295D09"/>
    <w:rsid w:val="002A210C"/>
    <w:rsid w:val="002B0C9F"/>
    <w:rsid w:val="002B4FBE"/>
    <w:rsid w:val="002C397B"/>
    <w:rsid w:val="002C7C6C"/>
    <w:rsid w:val="002D1807"/>
    <w:rsid w:val="002D35ED"/>
    <w:rsid w:val="002F1D30"/>
    <w:rsid w:val="00303646"/>
    <w:rsid w:val="00315277"/>
    <w:rsid w:val="00320029"/>
    <w:rsid w:val="00326B65"/>
    <w:rsid w:val="00330100"/>
    <w:rsid w:val="00331453"/>
    <w:rsid w:val="00336769"/>
    <w:rsid w:val="00346755"/>
    <w:rsid w:val="00347D13"/>
    <w:rsid w:val="00355AE1"/>
    <w:rsid w:val="003640DB"/>
    <w:rsid w:val="0037230E"/>
    <w:rsid w:val="00377E47"/>
    <w:rsid w:val="003817D1"/>
    <w:rsid w:val="00391C47"/>
    <w:rsid w:val="003B34E0"/>
    <w:rsid w:val="003C740B"/>
    <w:rsid w:val="003D2A02"/>
    <w:rsid w:val="003D5F72"/>
    <w:rsid w:val="003D6817"/>
    <w:rsid w:val="003E3185"/>
    <w:rsid w:val="00401FB9"/>
    <w:rsid w:val="004111E7"/>
    <w:rsid w:val="00416A8A"/>
    <w:rsid w:val="0042301F"/>
    <w:rsid w:val="0042321E"/>
    <w:rsid w:val="004313E9"/>
    <w:rsid w:val="00431BE3"/>
    <w:rsid w:val="00442CDE"/>
    <w:rsid w:val="004443B8"/>
    <w:rsid w:val="00447CEE"/>
    <w:rsid w:val="00451802"/>
    <w:rsid w:val="0046187D"/>
    <w:rsid w:val="0046205D"/>
    <w:rsid w:val="004635E3"/>
    <w:rsid w:val="00463C9D"/>
    <w:rsid w:val="004668CC"/>
    <w:rsid w:val="00474F6A"/>
    <w:rsid w:val="00475750"/>
    <w:rsid w:val="00477DAF"/>
    <w:rsid w:val="004829D6"/>
    <w:rsid w:val="00490BA6"/>
    <w:rsid w:val="004A4C53"/>
    <w:rsid w:val="004B0087"/>
    <w:rsid w:val="004B0FD6"/>
    <w:rsid w:val="004B3AE4"/>
    <w:rsid w:val="004C4A25"/>
    <w:rsid w:val="004C7140"/>
    <w:rsid w:val="004E43BB"/>
    <w:rsid w:val="004F0D93"/>
    <w:rsid w:val="005042EA"/>
    <w:rsid w:val="00505627"/>
    <w:rsid w:val="005057C8"/>
    <w:rsid w:val="00507BCD"/>
    <w:rsid w:val="00525557"/>
    <w:rsid w:val="00531AB2"/>
    <w:rsid w:val="00546985"/>
    <w:rsid w:val="00551934"/>
    <w:rsid w:val="00553103"/>
    <w:rsid w:val="00553B1A"/>
    <w:rsid w:val="00554276"/>
    <w:rsid w:val="00557F03"/>
    <w:rsid w:val="005667B6"/>
    <w:rsid w:val="00572573"/>
    <w:rsid w:val="00576C7D"/>
    <w:rsid w:val="0057709D"/>
    <w:rsid w:val="005815A5"/>
    <w:rsid w:val="005848D1"/>
    <w:rsid w:val="00587D0B"/>
    <w:rsid w:val="005916ED"/>
    <w:rsid w:val="00594D14"/>
    <w:rsid w:val="00597DC6"/>
    <w:rsid w:val="005B4386"/>
    <w:rsid w:val="005B58FC"/>
    <w:rsid w:val="005C0C45"/>
    <w:rsid w:val="005C0E7F"/>
    <w:rsid w:val="005C2337"/>
    <w:rsid w:val="005C33E2"/>
    <w:rsid w:val="005C77A7"/>
    <w:rsid w:val="005C78C9"/>
    <w:rsid w:val="005D4154"/>
    <w:rsid w:val="005D67A2"/>
    <w:rsid w:val="005F0CE4"/>
    <w:rsid w:val="00600163"/>
    <w:rsid w:val="0060137A"/>
    <w:rsid w:val="00603ED6"/>
    <w:rsid w:val="00607721"/>
    <w:rsid w:val="00615542"/>
    <w:rsid w:val="006410CD"/>
    <w:rsid w:val="00643600"/>
    <w:rsid w:val="006464EF"/>
    <w:rsid w:val="00652966"/>
    <w:rsid w:val="006601D3"/>
    <w:rsid w:val="0068167F"/>
    <w:rsid w:val="00681D69"/>
    <w:rsid w:val="00682878"/>
    <w:rsid w:val="006837EC"/>
    <w:rsid w:val="006A4CDD"/>
    <w:rsid w:val="006A62AD"/>
    <w:rsid w:val="006B1845"/>
    <w:rsid w:val="006B6F01"/>
    <w:rsid w:val="006B7B28"/>
    <w:rsid w:val="006C0111"/>
    <w:rsid w:val="006C08A1"/>
    <w:rsid w:val="006C1E5C"/>
    <w:rsid w:val="006C6BB5"/>
    <w:rsid w:val="006D2656"/>
    <w:rsid w:val="006D7FD9"/>
    <w:rsid w:val="006E2E50"/>
    <w:rsid w:val="006F005B"/>
    <w:rsid w:val="006F127E"/>
    <w:rsid w:val="006F43A9"/>
    <w:rsid w:val="006F6C0C"/>
    <w:rsid w:val="00711EB4"/>
    <w:rsid w:val="0071639B"/>
    <w:rsid w:val="007178AA"/>
    <w:rsid w:val="007209D4"/>
    <w:rsid w:val="0072107D"/>
    <w:rsid w:val="0072440D"/>
    <w:rsid w:val="00726B0F"/>
    <w:rsid w:val="00734521"/>
    <w:rsid w:val="00734DAE"/>
    <w:rsid w:val="00735CF8"/>
    <w:rsid w:val="00746A94"/>
    <w:rsid w:val="00746D92"/>
    <w:rsid w:val="0075047E"/>
    <w:rsid w:val="0075120F"/>
    <w:rsid w:val="00754363"/>
    <w:rsid w:val="0075552F"/>
    <w:rsid w:val="00755790"/>
    <w:rsid w:val="00757FEF"/>
    <w:rsid w:val="00762E62"/>
    <w:rsid w:val="00763F36"/>
    <w:rsid w:val="007643E3"/>
    <w:rsid w:val="00764EB6"/>
    <w:rsid w:val="00765DED"/>
    <w:rsid w:val="00765F23"/>
    <w:rsid w:val="007675D1"/>
    <w:rsid w:val="00773086"/>
    <w:rsid w:val="007738D9"/>
    <w:rsid w:val="007758B4"/>
    <w:rsid w:val="00776670"/>
    <w:rsid w:val="00777504"/>
    <w:rsid w:val="007807C1"/>
    <w:rsid w:val="0078176F"/>
    <w:rsid w:val="00784EB2"/>
    <w:rsid w:val="007905BE"/>
    <w:rsid w:val="007959F9"/>
    <w:rsid w:val="007A6D6C"/>
    <w:rsid w:val="007B1FA5"/>
    <w:rsid w:val="007B2DC3"/>
    <w:rsid w:val="007B4866"/>
    <w:rsid w:val="007D6D7F"/>
    <w:rsid w:val="007D6EB2"/>
    <w:rsid w:val="007F02A3"/>
    <w:rsid w:val="007F09DB"/>
    <w:rsid w:val="007F2758"/>
    <w:rsid w:val="007F4FE2"/>
    <w:rsid w:val="00814B23"/>
    <w:rsid w:val="00815A9A"/>
    <w:rsid w:val="008301F6"/>
    <w:rsid w:val="00840296"/>
    <w:rsid w:val="00856DB6"/>
    <w:rsid w:val="008604D4"/>
    <w:rsid w:val="008667DD"/>
    <w:rsid w:val="0087420A"/>
    <w:rsid w:val="008754E7"/>
    <w:rsid w:val="008A1B00"/>
    <w:rsid w:val="008A6785"/>
    <w:rsid w:val="008B1989"/>
    <w:rsid w:val="008B4FCE"/>
    <w:rsid w:val="008B710C"/>
    <w:rsid w:val="008B7260"/>
    <w:rsid w:val="008C2C8D"/>
    <w:rsid w:val="008C50D4"/>
    <w:rsid w:val="008C578A"/>
    <w:rsid w:val="008E2E5C"/>
    <w:rsid w:val="008E305D"/>
    <w:rsid w:val="008E47BE"/>
    <w:rsid w:val="009069FC"/>
    <w:rsid w:val="00911BB8"/>
    <w:rsid w:val="00913E59"/>
    <w:rsid w:val="0091556D"/>
    <w:rsid w:val="00915DD9"/>
    <w:rsid w:val="0091646B"/>
    <w:rsid w:val="00921DB2"/>
    <w:rsid w:val="009324F7"/>
    <w:rsid w:val="00932631"/>
    <w:rsid w:val="0094034E"/>
    <w:rsid w:val="00942FC9"/>
    <w:rsid w:val="009455E8"/>
    <w:rsid w:val="009505E2"/>
    <w:rsid w:val="00951AC4"/>
    <w:rsid w:val="00951CA5"/>
    <w:rsid w:val="00961744"/>
    <w:rsid w:val="009746D3"/>
    <w:rsid w:val="009875DD"/>
    <w:rsid w:val="009A1DC8"/>
    <w:rsid w:val="009B0DE7"/>
    <w:rsid w:val="009B31FA"/>
    <w:rsid w:val="009C0619"/>
    <w:rsid w:val="009C435D"/>
    <w:rsid w:val="009D1099"/>
    <w:rsid w:val="009D3CAF"/>
    <w:rsid w:val="009D6989"/>
    <w:rsid w:val="009D7B5A"/>
    <w:rsid w:val="009E5E01"/>
    <w:rsid w:val="009E6FAF"/>
    <w:rsid w:val="009F1465"/>
    <w:rsid w:val="009F1CF8"/>
    <w:rsid w:val="009F1F40"/>
    <w:rsid w:val="00A07AB1"/>
    <w:rsid w:val="00A24F89"/>
    <w:rsid w:val="00A30272"/>
    <w:rsid w:val="00A32AE8"/>
    <w:rsid w:val="00A37FF8"/>
    <w:rsid w:val="00A406BF"/>
    <w:rsid w:val="00A4508B"/>
    <w:rsid w:val="00A50644"/>
    <w:rsid w:val="00A52FFB"/>
    <w:rsid w:val="00A64ED3"/>
    <w:rsid w:val="00A7136F"/>
    <w:rsid w:val="00A74B6E"/>
    <w:rsid w:val="00A75270"/>
    <w:rsid w:val="00A75642"/>
    <w:rsid w:val="00A8784A"/>
    <w:rsid w:val="00A9075D"/>
    <w:rsid w:val="00A9540A"/>
    <w:rsid w:val="00AA07C1"/>
    <w:rsid w:val="00AB5665"/>
    <w:rsid w:val="00AB75A4"/>
    <w:rsid w:val="00AC1AD0"/>
    <w:rsid w:val="00AC3A6B"/>
    <w:rsid w:val="00AC54EF"/>
    <w:rsid w:val="00AD16D0"/>
    <w:rsid w:val="00AD3B79"/>
    <w:rsid w:val="00AD7D32"/>
    <w:rsid w:val="00AF026B"/>
    <w:rsid w:val="00AF5A9B"/>
    <w:rsid w:val="00AF7920"/>
    <w:rsid w:val="00B1503E"/>
    <w:rsid w:val="00B256EE"/>
    <w:rsid w:val="00B26C94"/>
    <w:rsid w:val="00B323AC"/>
    <w:rsid w:val="00B32716"/>
    <w:rsid w:val="00B328D2"/>
    <w:rsid w:val="00B32DBC"/>
    <w:rsid w:val="00B33C30"/>
    <w:rsid w:val="00B37DCF"/>
    <w:rsid w:val="00B453BB"/>
    <w:rsid w:val="00B458B6"/>
    <w:rsid w:val="00B52A0F"/>
    <w:rsid w:val="00B53CD6"/>
    <w:rsid w:val="00B56E42"/>
    <w:rsid w:val="00B63409"/>
    <w:rsid w:val="00B6771C"/>
    <w:rsid w:val="00B74AEE"/>
    <w:rsid w:val="00B77541"/>
    <w:rsid w:val="00B824F6"/>
    <w:rsid w:val="00B8667D"/>
    <w:rsid w:val="00BA372C"/>
    <w:rsid w:val="00BB3F01"/>
    <w:rsid w:val="00BC728E"/>
    <w:rsid w:val="00BD36D8"/>
    <w:rsid w:val="00BD5132"/>
    <w:rsid w:val="00BE130F"/>
    <w:rsid w:val="00BE3F5B"/>
    <w:rsid w:val="00BE722B"/>
    <w:rsid w:val="00BF074F"/>
    <w:rsid w:val="00BF42AA"/>
    <w:rsid w:val="00C07900"/>
    <w:rsid w:val="00C15CBE"/>
    <w:rsid w:val="00C202A3"/>
    <w:rsid w:val="00C25CAC"/>
    <w:rsid w:val="00C32E49"/>
    <w:rsid w:val="00C4416B"/>
    <w:rsid w:val="00C607BD"/>
    <w:rsid w:val="00C60AEF"/>
    <w:rsid w:val="00C6597A"/>
    <w:rsid w:val="00C76803"/>
    <w:rsid w:val="00C8170A"/>
    <w:rsid w:val="00C824F0"/>
    <w:rsid w:val="00C82869"/>
    <w:rsid w:val="00C841DA"/>
    <w:rsid w:val="00C85B3B"/>
    <w:rsid w:val="00C95A1A"/>
    <w:rsid w:val="00CA29A8"/>
    <w:rsid w:val="00CA2FC8"/>
    <w:rsid w:val="00CA7321"/>
    <w:rsid w:val="00CA7514"/>
    <w:rsid w:val="00CB7672"/>
    <w:rsid w:val="00CB7965"/>
    <w:rsid w:val="00CC3268"/>
    <w:rsid w:val="00CC3A8F"/>
    <w:rsid w:val="00CD025F"/>
    <w:rsid w:val="00CD216F"/>
    <w:rsid w:val="00CE2BAB"/>
    <w:rsid w:val="00CE40D9"/>
    <w:rsid w:val="00CF1F78"/>
    <w:rsid w:val="00CF3BBC"/>
    <w:rsid w:val="00D0166B"/>
    <w:rsid w:val="00D03BB7"/>
    <w:rsid w:val="00D06D6D"/>
    <w:rsid w:val="00D11B47"/>
    <w:rsid w:val="00D174E1"/>
    <w:rsid w:val="00D230E7"/>
    <w:rsid w:val="00D31088"/>
    <w:rsid w:val="00D31E68"/>
    <w:rsid w:val="00D351B4"/>
    <w:rsid w:val="00D40717"/>
    <w:rsid w:val="00D42F24"/>
    <w:rsid w:val="00D43EA3"/>
    <w:rsid w:val="00D4592C"/>
    <w:rsid w:val="00D52423"/>
    <w:rsid w:val="00D5378B"/>
    <w:rsid w:val="00D544A0"/>
    <w:rsid w:val="00D6171F"/>
    <w:rsid w:val="00D7157C"/>
    <w:rsid w:val="00D7247B"/>
    <w:rsid w:val="00D73BA3"/>
    <w:rsid w:val="00D746EB"/>
    <w:rsid w:val="00D80115"/>
    <w:rsid w:val="00D859CF"/>
    <w:rsid w:val="00D90441"/>
    <w:rsid w:val="00D90E27"/>
    <w:rsid w:val="00D958BE"/>
    <w:rsid w:val="00DA1EEB"/>
    <w:rsid w:val="00DA514D"/>
    <w:rsid w:val="00DA6791"/>
    <w:rsid w:val="00DB2D5F"/>
    <w:rsid w:val="00DB3FEA"/>
    <w:rsid w:val="00DB5761"/>
    <w:rsid w:val="00DC5C8C"/>
    <w:rsid w:val="00DD08BF"/>
    <w:rsid w:val="00DD680B"/>
    <w:rsid w:val="00DD7EF2"/>
    <w:rsid w:val="00DE0A97"/>
    <w:rsid w:val="00DE1B6B"/>
    <w:rsid w:val="00DE5745"/>
    <w:rsid w:val="00DF22FA"/>
    <w:rsid w:val="00DF27E0"/>
    <w:rsid w:val="00E10CDD"/>
    <w:rsid w:val="00E113C4"/>
    <w:rsid w:val="00E16303"/>
    <w:rsid w:val="00E2026A"/>
    <w:rsid w:val="00E237E0"/>
    <w:rsid w:val="00E266C4"/>
    <w:rsid w:val="00E3221E"/>
    <w:rsid w:val="00E32981"/>
    <w:rsid w:val="00E35812"/>
    <w:rsid w:val="00E3642D"/>
    <w:rsid w:val="00E401C6"/>
    <w:rsid w:val="00E42132"/>
    <w:rsid w:val="00E4507F"/>
    <w:rsid w:val="00E4551B"/>
    <w:rsid w:val="00E54608"/>
    <w:rsid w:val="00E6056A"/>
    <w:rsid w:val="00E65718"/>
    <w:rsid w:val="00E73AD8"/>
    <w:rsid w:val="00E75508"/>
    <w:rsid w:val="00E864BE"/>
    <w:rsid w:val="00E96482"/>
    <w:rsid w:val="00EA2F1C"/>
    <w:rsid w:val="00EA6943"/>
    <w:rsid w:val="00EB62F0"/>
    <w:rsid w:val="00EC4F9D"/>
    <w:rsid w:val="00ED0BC5"/>
    <w:rsid w:val="00ED6AC8"/>
    <w:rsid w:val="00EE1CB8"/>
    <w:rsid w:val="00EE569F"/>
    <w:rsid w:val="00EE71A7"/>
    <w:rsid w:val="00EE7971"/>
    <w:rsid w:val="00EF337E"/>
    <w:rsid w:val="00EF4886"/>
    <w:rsid w:val="00EF5EEE"/>
    <w:rsid w:val="00F0269E"/>
    <w:rsid w:val="00F033D5"/>
    <w:rsid w:val="00F20881"/>
    <w:rsid w:val="00F312C5"/>
    <w:rsid w:val="00F40366"/>
    <w:rsid w:val="00F46006"/>
    <w:rsid w:val="00F502E6"/>
    <w:rsid w:val="00F510C7"/>
    <w:rsid w:val="00F5313F"/>
    <w:rsid w:val="00F55BAB"/>
    <w:rsid w:val="00F63665"/>
    <w:rsid w:val="00F64C13"/>
    <w:rsid w:val="00F725F3"/>
    <w:rsid w:val="00F73ADC"/>
    <w:rsid w:val="00F85337"/>
    <w:rsid w:val="00F8610F"/>
    <w:rsid w:val="00F937B0"/>
    <w:rsid w:val="00F95AD0"/>
    <w:rsid w:val="00FA148B"/>
    <w:rsid w:val="00FA2CCB"/>
    <w:rsid w:val="00FA4278"/>
    <w:rsid w:val="00FA6B14"/>
    <w:rsid w:val="00FB5968"/>
    <w:rsid w:val="00FC435E"/>
    <w:rsid w:val="00FD522B"/>
    <w:rsid w:val="00FE6BA8"/>
    <w:rsid w:val="00FE7054"/>
    <w:rsid w:val="00FF0E9F"/>
    <w:rsid w:val="00FF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DA90FB"/>
  <w15:chartTrackingRefBased/>
  <w15:docId w15:val="{C1098019-0B57-45FF-9E30-1C65F8906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napToGrid w:val="0"/>
      <w:color w:val="000000"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napToGrid w:val="0"/>
      <w:color w:val="000000"/>
      <w:sz w:val="2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18"/>
    </w:rPr>
  </w:style>
  <w:style w:type="paragraph" w:styleId="Heading6">
    <w:name w:val="heading 6"/>
    <w:basedOn w:val="Normal"/>
    <w:next w:val="Normal"/>
    <w:qFormat/>
    <w:pPr>
      <w:keepNext/>
      <w:ind w:right="-115"/>
      <w:jc w:val="center"/>
      <w:outlineLvl w:val="5"/>
    </w:pPr>
    <w:rPr>
      <w:rFonts w:ascii="Arial" w:hAnsi="Arial" w:cs="Arial"/>
      <w:b/>
      <w:sz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sz w:val="22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sz w:val="22"/>
    </w:rPr>
  </w:style>
  <w:style w:type="paragraph" w:styleId="Heading9">
    <w:name w:val="heading 9"/>
    <w:basedOn w:val="Normal"/>
    <w:next w:val="Normal"/>
    <w:qFormat/>
    <w:pPr>
      <w:keepNext/>
      <w:ind w:right="-319"/>
      <w:outlineLvl w:val="8"/>
    </w:pPr>
    <w:rPr>
      <w:rFonts w:ascii="Arial" w:hAnsi="Arial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sz w:val="22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rPr>
      <w:rFonts w:ascii="Arial" w:hAnsi="Arial"/>
      <w:b/>
      <w:sz w:val="24"/>
      <w:u w:val="single"/>
    </w:rPr>
  </w:style>
  <w:style w:type="paragraph" w:styleId="Caption">
    <w:name w:val="caption"/>
    <w:basedOn w:val="Normal"/>
    <w:next w:val="Normal"/>
    <w:qFormat/>
    <w:rPr>
      <w:rFonts w:ascii="Arial" w:hAnsi="Arial"/>
      <w:b/>
      <w:sz w:val="24"/>
      <w:u w:val="single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4"/>
    </w:rPr>
  </w:style>
  <w:style w:type="paragraph" w:styleId="FootnoteText">
    <w:name w:val="footnote text"/>
    <w:basedOn w:val="Normal"/>
    <w:semiHidden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b/>
      <w:snapToGrid w:val="0"/>
    </w:rPr>
  </w:style>
  <w:style w:type="character" w:styleId="FootnoteReference">
    <w:name w:val="footnote reference"/>
    <w:semiHidden/>
    <w:rPr>
      <w:rFonts w:ascii="Arial Rounded MT Bold" w:hAnsi="Arial Rounded MT Bold"/>
      <w:b/>
      <w:color w:val="000000"/>
      <w:sz w:val="28"/>
      <w:vertAlign w:val="superscript"/>
    </w:rPr>
  </w:style>
  <w:style w:type="character" w:customStyle="1" w:styleId="text">
    <w:name w:val="text"/>
    <w:basedOn w:val="DefaultParagraphFont"/>
  </w:style>
  <w:style w:type="paragraph" w:styleId="BalloonText">
    <w:name w:val="Balloon Text"/>
    <w:basedOn w:val="Normal"/>
    <w:link w:val="BalloonTextChar"/>
    <w:rsid w:val="00B56E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6E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\\s1prdfs12.ed.sc.org\office\Accountability\DataManagement_Analysis\RES\AP-IB\2024\AP%20files\10%20year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\\s1prdfs12.ed.sc.org\office\Accountability\DataManagement_Analysis\RES\AP-IB\2024\AP%20files\10%20yea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1200"/>
              <a:t>Advanced Placement Examinations</a:t>
            </a:r>
          </a:p>
          <a:p>
            <a:pPr>
              <a:defRPr sz="1200"/>
            </a:pPr>
            <a:r>
              <a:rPr lang="en-US" sz="1200"/>
              <a:t>South Carolina Public Schools, 2015–2024</a:t>
            </a:r>
          </a:p>
          <a:p>
            <a:pPr>
              <a:defRPr sz="1200"/>
            </a:pPr>
            <a:r>
              <a:rPr lang="en-US" sz="1200"/>
              <a:t>Percent of Exams with 3 to 5 Scores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Sheet1!$A$1:$J$1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Sheet1!$A$2:$J$2</c:f>
              <c:numCache>
                <c:formatCode>General</c:formatCode>
                <c:ptCount val="10"/>
                <c:pt idx="0">
                  <c:v>0.57210000000000005</c:v>
                </c:pt>
                <c:pt idx="1">
                  <c:v>0.57299999999999995</c:v>
                </c:pt>
                <c:pt idx="2">
                  <c:v>0.56499999999999995</c:v>
                </c:pt>
                <c:pt idx="3">
                  <c:v>0.58299999999999996</c:v>
                </c:pt>
                <c:pt idx="4">
                  <c:v>0.58299999999999996</c:v>
                </c:pt>
                <c:pt idx="5">
                  <c:v>0.622</c:v>
                </c:pt>
                <c:pt idx="6">
                  <c:v>0.57799999999999996</c:v>
                </c:pt>
                <c:pt idx="7">
                  <c:v>0.63300000000000001</c:v>
                </c:pt>
                <c:pt idx="8">
                  <c:v>0.65900000000000003</c:v>
                </c:pt>
                <c:pt idx="9">
                  <c:v>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9CD-4531-B3EC-D9B0D30D1CF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21"/>
        <c:overlap val="17"/>
        <c:axId val="788286496"/>
        <c:axId val="788286912"/>
      </c:barChart>
      <c:catAx>
        <c:axId val="78828649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/>
                  <a:t>School 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788286912"/>
        <c:crosses val="autoZero"/>
        <c:auto val="1"/>
        <c:lblAlgn val="ctr"/>
        <c:lblOffset val="100"/>
        <c:noMultiLvlLbl val="0"/>
      </c:catAx>
      <c:valAx>
        <c:axId val="788286912"/>
        <c:scaling>
          <c:orientation val="minMax"/>
          <c:max val="0.75000000000000011"/>
          <c:min val="0.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en-US"/>
                  <a:t>Percent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Arial" panose="020B0604020202020204" pitchFamily="34" charset="0"/>
                  <a:ea typeface="+mn-ea"/>
                  <a:cs typeface="Arial" panose="020B0604020202020204" pitchFamily="34" charset="0"/>
                </a:defRPr>
              </a:pPr>
              <a:endParaRPr lang="en-US"/>
            </a:p>
          </c:txPr>
        </c:title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788286496"/>
        <c:crosses val="autoZero"/>
        <c:crossBetween val="between"/>
        <c:majorUnit val="5.000000000000001E-2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 b="0">
                <a:effectLst/>
                <a:latin typeface="Arial" panose="020B0604020202020204" pitchFamily="34" charset="0"/>
                <a:cs typeface="Arial" panose="020B0604020202020204" pitchFamily="34" charset="0"/>
              </a:rPr>
              <a:t>Advanced Placement Examinations</a:t>
            </a:r>
          </a:p>
          <a:p>
            <a:pPr>
              <a:defRPr/>
            </a:pPr>
            <a:r>
              <a:rPr lang="en-US" sz="1200" b="0">
                <a:effectLst/>
                <a:latin typeface="Arial" panose="020B0604020202020204" pitchFamily="34" charset="0"/>
                <a:cs typeface="Arial" panose="020B0604020202020204" pitchFamily="34" charset="0"/>
              </a:rPr>
              <a:t>South Carolina Public Schools, 2022–2024</a:t>
            </a:r>
          </a:p>
          <a:p>
            <a:pPr>
              <a:defRPr/>
            </a:pPr>
            <a:r>
              <a:rPr lang="en-US" sz="1200" b="0">
                <a:effectLst/>
                <a:latin typeface="Arial" panose="020B0604020202020204" pitchFamily="34" charset="0"/>
                <a:cs typeface="Arial" panose="020B0604020202020204" pitchFamily="34" charset="0"/>
              </a:rPr>
              <a:t>Exams, 3 to 5 Scores, Students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Sheet1!$R$1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Sheet1!$Q$2:$Q$4</c:f>
              <c:strCache>
                <c:ptCount val="3"/>
                <c:pt idx="0">
                  <c:v>Number of Exams</c:v>
                </c:pt>
                <c:pt idx="1">
                  <c:v>Number of 3 to 5 Scores</c:v>
                </c:pt>
                <c:pt idx="2">
                  <c:v>Number of Students</c:v>
                </c:pt>
              </c:strCache>
            </c:strRef>
          </c:cat>
          <c:val>
            <c:numRef>
              <c:f>Sheet1!$R$2:$R$4</c:f>
              <c:numCache>
                <c:formatCode>#,##0</c:formatCode>
                <c:ptCount val="3"/>
                <c:pt idx="0">
                  <c:v>46770</c:v>
                </c:pt>
                <c:pt idx="1">
                  <c:v>29616</c:v>
                </c:pt>
                <c:pt idx="2">
                  <c:v>29187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0D2-4BA2-8CDE-AAF8F0C93C3F}"/>
            </c:ext>
          </c:extLst>
        </c:ser>
        <c:ser>
          <c:idx val="1"/>
          <c:order val="1"/>
          <c:tx>
            <c:strRef>
              <c:f>Sheet1!$S$1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cat>
            <c:strRef>
              <c:f>Sheet1!$Q$2:$Q$4</c:f>
              <c:strCache>
                <c:ptCount val="3"/>
                <c:pt idx="0">
                  <c:v>Number of Exams</c:v>
                </c:pt>
                <c:pt idx="1">
                  <c:v>Number of 3 to 5 Scores</c:v>
                </c:pt>
                <c:pt idx="2">
                  <c:v>Number of Students</c:v>
                </c:pt>
              </c:strCache>
            </c:strRef>
          </c:cat>
          <c:val>
            <c:numRef>
              <c:f>Sheet1!$S$2:$S$4</c:f>
              <c:numCache>
                <c:formatCode>#,##0</c:formatCode>
                <c:ptCount val="3"/>
                <c:pt idx="0">
                  <c:v>47336</c:v>
                </c:pt>
                <c:pt idx="1">
                  <c:v>31212</c:v>
                </c:pt>
                <c:pt idx="2">
                  <c:v>29838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0D2-4BA2-8CDE-AAF8F0C93C3F}"/>
            </c:ext>
          </c:extLst>
        </c:ser>
        <c:ser>
          <c:idx val="2"/>
          <c:order val="2"/>
          <c:tx>
            <c:strRef>
              <c:f>Sheet1!$T$1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Sheet1!$Q$2:$Q$4</c:f>
              <c:strCache>
                <c:ptCount val="3"/>
                <c:pt idx="0">
                  <c:v>Number of Exams</c:v>
                </c:pt>
                <c:pt idx="1">
                  <c:v>Number of 3 to 5 Scores</c:v>
                </c:pt>
                <c:pt idx="2">
                  <c:v>Number of Students</c:v>
                </c:pt>
              </c:strCache>
            </c:strRef>
          </c:cat>
          <c:val>
            <c:numRef>
              <c:f>Sheet1!$T$2:$T$4</c:f>
              <c:numCache>
                <c:formatCode>#,##0</c:formatCode>
                <c:ptCount val="3"/>
                <c:pt idx="0">
                  <c:v>49751</c:v>
                </c:pt>
                <c:pt idx="1">
                  <c:v>34884</c:v>
                </c:pt>
                <c:pt idx="2">
                  <c:v>31125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0D2-4BA2-8CDE-AAF8F0C93C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20976224"/>
        <c:axId val="720972896"/>
      </c:barChart>
      <c:catAx>
        <c:axId val="720976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20972896"/>
        <c:crosses val="autoZero"/>
        <c:auto val="1"/>
        <c:lblAlgn val="ctr"/>
        <c:lblOffset val="100"/>
        <c:noMultiLvlLbl val="0"/>
      </c:catAx>
      <c:valAx>
        <c:axId val="7209728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20976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0E2841"/>
    </a:dk2>
    <a:lt2>
      <a:srgbClr val="E8E8E8"/>
    </a:lt2>
    <a:accent1>
      <a:srgbClr val="156082"/>
    </a:accent1>
    <a:accent2>
      <a:srgbClr val="E97132"/>
    </a:accent2>
    <a:accent3>
      <a:srgbClr val="196B24"/>
    </a:accent3>
    <a:accent4>
      <a:srgbClr val="0F9ED5"/>
    </a:accent4>
    <a:accent5>
      <a:srgbClr val="A02B93"/>
    </a:accent5>
    <a:accent6>
      <a:srgbClr val="4EA72E"/>
    </a:accent6>
    <a:hlink>
      <a:srgbClr val="467886"/>
    </a:hlink>
    <a:folHlink>
      <a:srgbClr val="96607D"/>
    </a:folHlink>
  </a:clrScheme>
  <a:fontScheme name="Office">
    <a:majorFont>
      <a:latin typeface="Aptos Display" panose="0211000402020202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Aptos" panose="0211000402020202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0E2841"/>
    </a:dk2>
    <a:lt2>
      <a:srgbClr val="E8E8E8"/>
    </a:lt2>
    <a:accent1>
      <a:srgbClr val="156082"/>
    </a:accent1>
    <a:accent2>
      <a:srgbClr val="E97132"/>
    </a:accent2>
    <a:accent3>
      <a:srgbClr val="196B24"/>
    </a:accent3>
    <a:accent4>
      <a:srgbClr val="0F9ED5"/>
    </a:accent4>
    <a:accent5>
      <a:srgbClr val="A02B93"/>
    </a:accent5>
    <a:accent6>
      <a:srgbClr val="4EA72E"/>
    </a:accent6>
    <a:hlink>
      <a:srgbClr val="467886"/>
    </a:hlink>
    <a:folHlink>
      <a:srgbClr val="96607D"/>
    </a:folHlink>
  </a:clrScheme>
  <a:fontScheme name="Office">
    <a:majorFont>
      <a:latin typeface="Aptos Display" panose="0211000402020202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Aptos" panose="0211000402020202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9AD0C-A311-4749-84C3-14FC88761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631</Words>
  <Characters>3176</Characters>
  <Application>Microsoft Office Word</Application>
  <DocSecurity>0</DocSecurity>
  <Lines>122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2000 Results of the Advanced Placement (AP) Examinations</vt:lpstr>
    </vt:vector>
  </TitlesOfParts>
  <Company>SC Dept. of Education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2000 Results of the Advanced Placement (AP) Examinations</dc:title>
  <dc:subject/>
  <dc:creator>Bunny Mack</dc:creator>
  <cp:keywords/>
  <cp:lastModifiedBy>Templeton, Samuel</cp:lastModifiedBy>
  <cp:revision>2</cp:revision>
  <cp:lastPrinted>2013-01-17T17:09:00Z</cp:lastPrinted>
  <dcterms:created xsi:type="dcterms:W3CDTF">2024-12-03T04:35:00Z</dcterms:created>
  <dcterms:modified xsi:type="dcterms:W3CDTF">2024-12-03T04:35:00Z</dcterms:modified>
</cp:coreProperties>
</file>